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40" w:lineRule="auto"/>
        <w:ind/>
        <w:contextualSpacing w:val="1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ПРОЕКТ</w:t>
      </w:r>
    </w:p>
    <w:p w14:paraId="05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Перечень международных </w:t>
      </w:r>
      <w:r>
        <w:rPr>
          <w:rFonts w:ascii="Times New Roman" w:hAnsi="Times New Roman"/>
          <w:b w:val="1"/>
          <w:sz w:val="28"/>
        </w:rPr>
        <w:t>конгрессно</w:t>
      </w:r>
      <w:r>
        <w:rPr>
          <w:rFonts w:ascii="Times New Roman" w:hAnsi="Times New Roman"/>
          <w:b w:val="1"/>
          <w:sz w:val="28"/>
        </w:rPr>
        <w:t xml:space="preserve">-выставочных </w:t>
      </w:r>
    </w:p>
    <w:p w14:paraId="07000000">
      <w:pPr>
        <w:spacing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 презентационных мероприятий исполнительных органов Камчатского края и подведомственных учреждений </w:t>
      </w:r>
      <w:r>
        <w:br/>
      </w:r>
      <w:r>
        <w:rPr>
          <w:rFonts w:ascii="Times New Roman" w:hAnsi="Times New Roman"/>
          <w:b w:val="1"/>
          <w:sz w:val="28"/>
        </w:rPr>
        <w:t>на 2025 год</w:t>
      </w:r>
    </w:p>
    <w:tbl>
      <w:tblPr>
        <w:tblStyle w:val="Style_3"/>
        <w:tblInd w:type="dxa" w:w="-147"/>
        <w:tblLayout w:type="fixed"/>
      </w:tblPr>
      <w:tblGrid>
        <w:gridCol w:w="551"/>
        <w:gridCol w:w="2103"/>
        <w:gridCol w:w="1238"/>
        <w:gridCol w:w="1053"/>
        <w:gridCol w:w="1797"/>
        <w:gridCol w:w="2637"/>
        <w:gridCol w:w="3413"/>
        <w:gridCol w:w="2095"/>
      </w:tblGrid>
      <w:tr>
        <w:tc>
          <w:tcPr>
            <w:tcW w:type="dxa" w:w="551"/>
            <w:vAlign w:val="center"/>
          </w:tcPr>
          <w:p w14:paraId="08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103"/>
            <w:vAlign w:val="center"/>
          </w:tcPr>
          <w:p w14:paraId="09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</w:tc>
        <w:tc>
          <w:tcPr>
            <w:tcW w:type="dxa" w:w="1238"/>
            <w:vAlign w:val="center"/>
          </w:tcPr>
          <w:p w14:paraId="0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Даты мероприятия</w:t>
            </w:r>
          </w:p>
        </w:tc>
        <w:tc>
          <w:tcPr>
            <w:tcW w:type="dxa" w:w="1053"/>
            <w:vAlign w:val="center"/>
          </w:tcPr>
          <w:p w14:paraId="0B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Формат участия </w:t>
            </w:r>
          </w:p>
          <w:p w14:paraId="0C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Очно/</w:t>
            </w:r>
          </w:p>
          <w:p w14:paraId="0D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ВКС</w:t>
            </w:r>
          </w:p>
        </w:tc>
        <w:tc>
          <w:tcPr>
            <w:tcW w:type="dxa" w:w="1797"/>
            <w:vAlign w:val="center"/>
          </w:tcPr>
          <w:p w14:paraId="0E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проведения мероприятия</w:t>
            </w:r>
          </w:p>
        </w:tc>
        <w:tc>
          <w:tcPr>
            <w:tcW w:type="dxa" w:w="2637"/>
            <w:vAlign w:val="center"/>
          </w:tcPr>
          <w:p w14:paraId="0F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Обоснование необходимости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и цель</w:t>
            </w:r>
          </w:p>
        </w:tc>
        <w:tc>
          <w:tcPr>
            <w:tcW w:type="dxa" w:w="3413"/>
            <w:vAlign w:val="center"/>
          </w:tcPr>
          <w:p w14:paraId="10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Ожидаемый </w:t>
            </w:r>
          </w:p>
          <w:p w14:paraId="11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(планируемы</w:t>
            </w:r>
            <w:r>
              <w:rPr>
                <w:b w:val="1"/>
                <w:sz w:val="20"/>
              </w:rPr>
              <w:t>й) результат</w:t>
            </w:r>
          </w:p>
        </w:tc>
        <w:tc>
          <w:tcPr>
            <w:tcW w:type="dxa" w:w="2095"/>
            <w:vAlign w:val="center"/>
          </w:tcPr>
          <w:p w14:paraId="12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Инициатор</w:t>
            </w:r>
          </w:p>
          <w:p w14:paraId="13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(автор предложений)</w:t>
            </w:r>
          </w:p>
        </w:tc>
      </w:tr>
      <w:tr>
        <w:trPr>
          <w:trHeight w:hRule="atLeast" w:val="330"/>
        </w:trPr>
        <w:tc>
          <w:tcPr>
            <w:tcW w:type="dxa" w:w="551"/>
            <w:vAlign w:val="center"/>
          </w:tcPr>
          <w:p w14:paraId="14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1</w:t>
            </w:r>
          </w:p>
        </w:tc>
        <w:tc>
          <w:tcPr>
            <w:tcW w:type="dxa" w:w="2103"/>
            <w:vAlign w:val="center"/>
          </w:tcPr>
          <w:p w14:paraId="15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2</w:t>
            </w:r>
          </w:p>
        </w:tc>
        <w:tc>
          <w:tcPr>
            <w:tcW w:type="dxa" w:w="1238"/>
            <w:vAlign w:val="center"/>
          </w:tcPr>
          <w:p w14:paraId="16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3</w:t>
            </w:r>
          </w:p>
        </w:tc>
        <w:tc>
          <w:tcPr>
            <w:tcW w:type="dxa" w:w="1053"/>
            <w:vAlign w:val="center"/>
          </w:tcPr>
          <w:p w14:paraId="17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4</w:t>
            </w:r>
          </w:p>
        </w:tc>
        <w:tc>
          <w:tcPr>
            <w:tcW w:type="dxa" w:w="1797"/>
            <w:vAlign w:val="center"/>
          </w:tcPr>
          <w:p w14:paraId="18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5</w:t>
            </w:r>
          </w:p>
        </w:tc>
        <w:tc>
          <w:tcPr>
            <w:tcW w:type="dxa" w:w="2637"/>
            <w:vAlign w:val="center"/>
          </w:tcPr>
          <w:p w14:paraId="19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6</w:t>
            </w:r>
          </w:p>
        </w:tc>
        <w:tc>
          <w:tcPr>
            <w:tcW w:type="dxa" w:w="3413"/>
            <w:vAlign w:val="center"/>
          </w:tcPr>
          <w:p w14:paraId="1A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7</w:t>
            </w:r>
          </w:p>
        </w:tc>
        <w:tc>
          <w:tcPr>
            <w:tcW w:type="dxa" w:w="2095"/>
            <w:vAlign w:val="center"/>
          </w:tcPr>
          <w:p w14:paraId="1B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8</w:t>
            </w:r>
          </w:p>
        </w:tc>
      </w:tr>
      <w:tr>
        <w:trPr>
          <w:trHeight w:hRule="atLeast" w:val="511"/>
        </w:trPr>
        <w:tc>
          <w:tcPr>
            <w:tcW w:type="dxa" w:w="14887"/>
            <w:gridSpan w:val="8"/>
            <w:shd w:themeFill="text2" w:themeFillTint="66" w:val="clear"/>
            <w:vAlign w:val="center"/>
          </w:tcPr>
          <w:p w14:paraId="1C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1. Участие на уровне Губернатора Камчатского края</w:t>
            </w:r>
          </w:p>
        </w:tc>
      </w:tr>
      <w:tr>
        <w:trPr>
          <w:trHeight w:hRule="atLeast" w:val="518"/>
        </w:trPr>
        <w:tc>
          <w:tcPr>
            <w:tcW w:type="dxa" w:w="14887"/>
            <w:gridSpan w:val="8"/>
            <w:shd w:themeFill="accent1" w:themeFillTint="30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Торгово-экономические и инвестиционные форумы</w:t>
            </w:r>
          </w:p>
        </w:tc>
      </w:tr>
      <w:tr>
        <w:trPr>
          <w:trHeight w:hRule="atLeast" w:val="171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t>Инвестиционный форум в Камчатском крае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февраль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  <w:t>г. Петропавловск-Камчатский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Продвижение инвестиционного, экспортного и туристического потенциала региона, привлечение инвестиций в Камчатский край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Инвестфорум станет площадкой для встречи инвесторов, органов власти, экспертов для демонстрации инвестиционного потенциала региона.</w:t>
            </w:r>
          </w:p>
          <w:p w14:paraId="2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Темы деловой программы Инвестфорума направлены на обсуждение перспектив внедрения регионального инвестиционного стандарта, совершенствование системы регионального инвестиционного законодательства, обеспечения инвесторов инвестиционной инфраструктурой, а также механизмах привлечения инвесторов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«Корпорация развития Камчатки»</w:t>
            </w:r>
          </w:p>
        </w:tc>
      </w:tr>
      <w:tr>
        <w:trPr>
          <w:trHeight w:hRule="atLeast" w:val="24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AIM Congress 2025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7-9 апреля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>г. Абу-Даби</w:t>
            </w:r>
          </w:p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>(ОАЭ)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Продвижение инвестиционного, экспортного и туристического потенциала региона, привлечение инвестиций в Камчатский край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торгового и инвестиционного сотрудничества, установление деловых контактов с потенциальными инвесторами для совместной реализации инвестиционных проектов в Камчатском крае, презентация туристического потенциала региона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АО «Корпорация развития Камчатки»</w:t>
            </w:r>
          </w:p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00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Международный экономический форум «Россия – Исламский мир: KazanForum»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май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  <w:t xml:space="preserve">г. Казань 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Продвижение инвестиционного, экспортного и туристического потенциала региона, привлечение инвестиций в Камчатский </w:t>
            </w:r>
            <w:r>
              <w:rPr>
                <w:rFonts w:ascii="Times New Roman" w:hAnsi="Times New Roman"/>
                <w:sz w:val="20"/>
              </w:rPr>
              <w:t>край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торгового и инвестиционного сотрудничества, установление деловых контактов с потенциальными инвесторами для совместной реализации инвестиционных проектов в Камчатском крае, презентация туристического потенциала региона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47"/>
        </w:trPr>
        <w:tc>
          <w:tcPr>
            <w:tcW w:type="dxa" w:w="551"/>
            <w:vAlign w:val="center"/>
          </w:tcPr>
          <w:p w14:paraId="3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type="dxa" w:w="2103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>XXVIII Пете</w:t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>рбургский международ</w:t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 xml:space="preserve">ный </w:t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>экономический форум</w:t>
            </w:r>
          </w:p>
        </w:tc>
        <w:tc>
          <w:tcPr>
            <w:tcW w:type="dxa" w:w="1238"/>
            <w:vAlign w:val="center"/>
          </w:tcPr>
          <w:p w14:paraId="3C000000">
            <w:pPr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 xml:space="preserve">18-21 июня </w:t>
            </w:r>
          </w:p>
        </w:tc>
        <w:tc>
          <w:tcPr>
            <w:tcW w:type="dxa" w:w="1053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Style w:val="Style_2_ch"/>
                <w:rFonts w:ascii="Times New Roman" w:hAnsi="Times New Roman"/>
                <w:color w:themeColor="text1" w:val="000000"/>
                <w:sz w:val="20"/>
                <w:highlight w:val="white"/>
              </w:rPr>
              <w:t xml:space="preserve">КВЦ «Экспофорум» </w:t>
            </w:r>
            <w:r>
              <w:rPr>
                <w:rStyle w:val="Style_2_ch"/>
                <w:rFonts w:ascii="Times New Roman" w:hAnsi="Times New Roman"/>
                <w:color w:themeColor="text1" w:val="000000"/>
                <w:sz w:val="20"/>
                <w:highlight w:val="white"/>
              </w:rPr>
              <w:br/>
            </w:r>
            <w:r>
              <w:rPr>
                <w:rStyle w:val="Style_2_ch"/>
                <w:rFonts w:ascii="Times New Roman" w:hAnsi="Times New Roman"/>
                <w:color w:themeColor="text1" w:val="000000"/>
                <w:sz w:val="20"/>
                <w:highlight w:val="white"/>
              </w:rPr>
              <w:t>г. Санкт-Петербург</w:t>
            </w:r>
          </w:p>
        </w:tc>
        <w:tc>
          <w:tcPr>
            <w:tcW w:type="dxa" w:w="2637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  <w:t>Форум является ведущей мировой площадкой для общения представителей деловых кругов и обсуждения ключевых экономических вопросов, стоящих перед Россией, развивающимися рынками и миром в целом</w:t>
            </w:r>
          </w:p>
        </w:tc>
        <w:tc>
          <w:tcPr>
            <w:tcW w:type="dxa" w:w="3413"/>
            <w:vAlign w:val="center"/>
          </w:tcPr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торгового и инвестиционного сотрудничества, установление деловых контактов с потенциальными инвесторами для совместной реализации инвестиционных проектов в Камчатском крае, презентация туристического потенциала региона</w:t>
            </w:r>
          </w:p>
        </w:tc>
        <w:tc>
          <w:tcPr>
            <w:tcW w:type="dxa" w:w="2095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47"/>
        </w:trPr>
        <w:tc>
          <w:tcPr>
            <w:tcW w:type="dxa" w:w="551"/>
            <w:vAlign w:val="center"/>
          </w:tcPr>
          <w:p w14:paraId="4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type="dxa" w:w="2103"/>
            <w:vAlign w:val="center"/>
          </w:tcPr>
          <w:p w14:paraId="43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X Восточный экономический форум</w:t>
            </w:r>
          </w:p>
        </w:tc>
        <w:tc>
          <w:tcPr>
            <w:tcW w:type="dxa" w:w="1238"/>
            <w:vAlign w:val="center"/>
          </w:tcPr>
          <w:p w14:paraId="44000000">
            <w:pPr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  <w:r>
              <w:rPr>
                <w:rStyle w:val="Style_2_ch"/>
                <w:rFonts w:ascii="Times New Roman" w:hAnsi="Times New Roman"/>
                <w:i w:val="0"/>
                <w:color w:val="000000"/>
                <w:sz w:val="20"/>
              </w:rPr>
              <w:t xml:space="preserve">3-6 сентября </w:t>
            </w:r>
          </w:p>
        </w:tc>
        <w:tc>
          <w:tcPr>
            <w:tcW w:type="dxa" w:w="1053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  <w:p w14:paraId="46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797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о. Русский </w:t>
            </w:r>
            <w:r>
              <w:rPr>
                <w:rFonts w:ascii="Times New Roman" w:hAnsi="Times New Roman"/>
                <w:i w:val="0"/>
                <w:sz w:val="20"/>
              </w:rPr>
              <w:br/>
            </w:r>
            <w:r>
              <w:rPr>
                <w:rFonts w:ascii="Times New Roman" w:hAnsi="Times New Roman"/>
                <w:i w:val="0"/>
                <w:sz w:val="20"/>
              </w:rPr>
              <w:t>г. Владивосто</w:t>
            </w:r>
            <w:r>
              <w:rPr>
                <w:rFonts w:ascii="Times New Roman" w:hAnsi="Times New Roman"/>
                <w:sz w:val="20"/>
              </w:rPr>
              <w:t>к</w:t>
            </w:r>
          </w:p>
          <w:p w14:paraId="48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2637"/>
            <w:vAlign w:val="center"/>
          </w:tcPr>
          <w:p w14:paraId="49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Форум направлен на содействие развитию Дальнего Востока, его экономики и инвестиционной активности, а также усиление </w:t>
            </w:r>
            <w:r>
              <w:rPr>
                <w:rFonts w:ascii="Times New Roman" w:hAnsi="Times New Roman"/>
                <w:sz w:val="20"/>
              </w:rPr>
              <w:t>международного сотрудничества в Азиатско-Тихоокеанском регионе. Цель участия: презентация возможностей и потребностей региона контрагентам в странах Азиатско-Тихоокеанского региона, формирование благоприятного имиджа региона</w:t>
            </w:r>
          </w:p>
        </w:tc>
        <w:tc>
          <w:tcPr>
            <w:tcW w:type="dxa" w:w="3413"/>
            <w:vAlign w:val="center"/>
          </w:tcPr>
          <w:p w14:paraId="4A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Развитие торгового и инвестиционного сотрудничества со странами АТР, </w:t>
            </w:r>
            <w:r>
              <w:rPr>
                <w:rFonts w:ascii="Times New Roman" w:hAnsi="Times New Roman"/>
                <w:sz w:val="20"/>
              </w:rPr>
              <w:t>установление деловых контактов с потенциальными инвесторами для совместной реализации инвестиционных проектов в Камчатском крае</w:t>
            </w:r>
          </w:p>
        </w:tc>
        <w:tc>
          <w:tcPr>
            <w:tcW w:type="dxa" w:w="2095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78"/>
        </w:trPr>
        <w:tc>
          <w:tcPr>
            <w:tcW w:type="dxa" w:w="14887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accent1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Туризм</w:t>
            </w:r>
          </w:p>
        </w:tc>
      </w:tr>
      <w:tr>
        <w:trPr>
          <w:trHeight w:hRule="atLeast" w:val="24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 Форума устойчивого развития туризма «Путешествуй!»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12-16 февраля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  <w:t>г. Петропавловск-Камчатский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Обсуждение актуальных вопросов с участием представителей федеральных и региональных органов власти, отраслевых ассоциаций, туристических компаний, научного сообщества и экспертов в области туризма и индустрии гостеприимства, а также почетных гостей из регионов Дальнего Востока и Арктики и зарубежных стран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 xml:space="preserve">Выработка решений по вопросам развития </w:t>
            </w: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 xml:space="preserve">туризма и индустрии гостеприимства, </w:t>
            </w: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увеличение турпотока в Камчатский край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24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fldChar w:fldCharType="begin"/>
            </w:r>
            <w:r>
              <w:rPr>
                <w:rFonts w:ascii="Times New Roman" w:hAnsi="Times New Roman"/>
                <w:sz w:val="20"/>
              </w:rPr>
              <w:instrText>HYPERLINK "https://ru.cantonfair.net/event/44439-guangzhou-international-tourism-exhibition"</w:instrText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Международная туристическая выставка Гуанчжоу 2025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15-17 мая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 xml:space="preserve">г. </w:t>
            </w:r>
            <w:r>
              <w:rPr>
                <w:rFonts w:ascii="Times New Roman" w:hAnsi="Times New Roman"/>
                <w:sz w:val="20"/>
              </w:rPr>
              <w:fldChar w:fldCharType="begin"/>
            </w:r>
            <w:r>
              <w:rPr>
                <w:rFonts w:ascii="Times New Roman" w:hAnsi="Times New Roman"/>
                <w:sz w:val="20"/>
              </w:rPr>
              <w:instrText>HYPERLINK "https://ru.cantonfair.net/event/44439-guangzhou-international-tourism-exhibition"</w:instrText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rFonts w:ascii="Times New Roman" w:hAnsi="Times New Roman"/>
                <w:sz w:val="20"/>
              </w:rPr>
              <w:t>Гуанчжоу</w:t>
            </w:r>
            <w:r>
              <w:rPr>
                <w:rFonts w:ascii="Times New Roman" w:hAnsi="Times New Roman"/>
                <w:sz w:val="20"/>
              </w:rPr>
              <w:fldChar w:fldCharType="end"/>
            </w:r>
            <w:r>
              <w:rPr>
                <w:rFonts w:ascii="Times New Roman" w:hAnsi="Times New Roman"/>
                <w:sz w:val="20"/>
              </w:rPr>
              <w:t xml:space="preserve"> (КНР)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Продвижение туристического потенциала Камчатского края</w:t>
            </w: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Популяризация</w:t>
            </w:r>
          </w:p>
          <w:p w14:paraId="5F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Камчатского края,</w:t>
            </w:r>
          </w:p>
          <w:p w14:paraId="60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повышение имиджа</w:t>
            </w:r>
          </w:p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региона</w:t>
            </w:r>
            <w:r>
              <w:rPr>
                <w:rFonts w:ascii="Times New Roman" w:hAnsi="Times New Roman"/>
                <w:sz w:val="20"/>
              </w:rPr>
              <w:t>. Привлечение иностранных туристов в Камчатский край</w:t>
            </w:r>
          </w:p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4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ITB China 2025 – 8-я международная выставка туристического рынка Китая 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27-29 мая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 xml:space="preserve">г. Шанхай </w:t>
            </w:r>
          </w:p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>(КНР)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Продвижение туристического потенциала Камчатского края</w:t>
            </w:r>
          </w:p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0"/>
                <w:highlight w:val="white"/>
              </w:rPr>
            </w:pP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Популяризация</w:t>
            </w:r>
          </w:p>
          <w:p w14:paraId="6D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Камчатского края,</w:t>
            </w:r>
          </w:p>
          <w:p w14:paraId="6E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повышение имиджа</w:t>
            </w:r>
          </w:p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региона</w:t>
            </w:r>
            <w:r>
              <w:rPr>
                <w:rFonts w:ascii="Times New Roman" w:hAnsi="Times New Roman"/>
                <w:sz w:val="20"/>
              </w:rPr>
              <w:t>. Привлечение иностранных туристов в Камчатский край</w:t>
            </w:r>
          </w:p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247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Пекинская международная туристическая выставка BITE-2025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уточняется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</w:pPr>
            <w:r>
              <w:rPr>
                <w:rFonts w:ascii="Times New Roman" w:hAnsi="Times New Roman"/>
                <w:sz w:val="20"/>
              </w:rPr>
              <w:t xml:space="preserve">г. Пекин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>(КНР)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pStyle w:val="Style_2"/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2_ch"/>
                <w:rFonts w:ascii="Times New Roman" w:hAnsi="Times New Roman"/>
                <w:sz w:val="20"/>
              </w:rPr>
              <w:t>Продвижение туристического потенциала Камчатского края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Популяризация</w:t>
            </w:r>
          </w:p>
          <w:p w14:paraId="7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Камчатского края,</w:t>
            </w:r>
          </w:p>
          <w:p w14:paraId="7A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повышение имиджа</w:t>
            </w:r>
          </w:p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региона</w:t>
            </w:r>
            <w:r>
              <w:rPr>
                <w:rFonts w:ascii="Times New Roman" w:hAnsi="Times New Roman"/>
                <w:sz w:val="20"/>
              </w:rPr>
              <w:t>. Привлечение иностранных туристов в Камчатский край</w:t>
            </w:r>
          </w:p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547"/>
        </w:trPr>
        <w:tc>
          <w:tcPr>
            <w:tcW w:type="dxa" w:w="14887"/>
            <w:gridSpan w:val="8"/>
            <w:shd w:themeFill="accent1" w:themeFillTint="30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Рыбохозяйственный комплекс</w:t>
            </w:r>
            <w:r>
              <w:rPr>
                <w:rFonts w:ascii="Times New Roman" w:hAnsi="Times New Roman"/>
                <w:i w:val="0"/>
                <w:sz w:val="20"/>
              </w:rPr>
              <w:t> </w:t>
            </w:r>
          </w:p>
        </w:tc>
      </w:tr>
      <w:tr>
        <w:trPr>
          <w:trHeight w:hRule="atLeast" w:val="2614"/>
        </w:trPr>
        <w:tc>
          <w:tcPr>
            <w:tcW w:type="dxa" w:w="551"/>
            <w:vAlign w:val="center"/>
          </w:tcPr>
          <w:p w14:paraId="7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type="dxa" w:w="2103"/>
            <w:vAlign w:val="center"/>
          </w:tcPr>
          <w:p w14:paraId="80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VIII Международный рыбо</w:t>
            </w:r>
            <w:r>
              <w:rPr>
                <w:rFonts w:ascii="Times New Roman" w:hAnsi="Times New Roman"/>
                <w:i w:val="0"/>
                <w:sz w:val="20"/>
              </w:rPr>
              <w:t>пром</w:t>
            </w:r>
            <w:r>
              <w:rPr>
                <w:rFonts w:ascii="Times New Roman" w:hAnsi="Times New Roman"/>
                <w:i w:val="0"/>
                <w:sz w:val="20"/>
              </w:rPr>
              <w:t>ышленный форум и Выставка рыбной индустрии, мо</w:t>
            </w:r>
            <w:r>
              <w:rPr>
                <w:rFonts w:ascii="Times New Roman" w:hAnsi="Times New Roman"/>
                <w:i w:val="0"/>
                <w:sz w:val="20"/>
              </w:rPr>
              <w:t>репродукто</w:t>
            </w:r>
            <w:r>
              <w:rPr>
                <w:rFonts w:ascii="Times New Roman" w:hAnsi="Times New Roman"/>
                <w:i w:val="0"/>
                <w:sz w:val="20"/>
              </w:rPr>
              <w:t>в и технологий</w:t>
            </w:r>
          </w:p>
          <w:p w14:paraId="81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(Global Fishery Forum &amp; Seafood Expo Russia 2025)</w:t>
            </w:r>
          </w:p>
        </w:tc>
        <w:tc>
          <w:tcPr>
            <w:tcW w:type="dxa" w:w="1238"/>
            <w:vAlign w:val="center"/>
          </w:tcPr>
          <w:p w14:paraId="82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сентябрь (предварительно)</w:t>
            </w:r>
          </w:p>
          <w:p w14:paraId="83000000">
            <w:pPr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</w:p>
        </w:tc>
        <w:tc>
          <w:tcPr>
            <w:tcW w:type="dxa" w:w="1053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 xml:space="preserve">КВЦ «Экспофорум»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>г. Санкт-Петербург</w:t>
            </w:r>
          </w:p>
        </w:tc>
        <w:tc>
          <w:tcPr>
            <w:tcW w:type="dxa" w:w="2637"/>
            <w:vAlign w:val="center"/>
          </w:tcPr>
          <w:p w14:paraId="8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Объединенная выставочная экспозиция рыбохозяйственных предприятий Камчатского края на Выставке рыбной индустрии, морепродуктов и технологий</w:t>
            </w:r>
          </w:p>
        </w:tc>
        <w:tc>
          <w:tcPr>
            <w:tcW w:type="dxa" w:w="3413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Участие ведущих рыбодобывающих и рыбоперерабатывающих предприятий рыбохозяйственного комплекса Камчатского края в коллективной экспозиции рыбных продуктов с презентацией продукции собственного производства. Установление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взаимовыгодных контактов, расширение торговых и кооперационных связей с другими регионами страны</w:t>
            </w:r>
          </w:p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pacing w:val="0"/>
                <w:sz w:val="20"/>
              </w:rPr>
            </w:pPr>
          </w:p>
        </w:tc>
        <w:tc>
          <w:tcPr>
            <w:tcW w:type="dxa" w:w="2095"/>
            <w:vAlign w:val="center"/>
          </w:tcPr>
          <w:p w14:paraId="89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рыбного хозяйства Камчатского края</w:t>
            </w:r>
          </w:p>
        </w:tc>
      </w:tr>
      <w:tr>
        <w:trPr>
          <w:trHeight w:hRule="atLeast" w:val="530"/>
        </w:trPr>
        <w:tc>
          <w:tcPr>
            <w:tcW w:type="dxa" w:w="14887"/>
            <w:gridSpan w:val="8"/>
            <w:shd w:themeFill="accent1" w:themeFillTint="30" w:val="clear"/>
            <w:vAlign w:val="center"/>
          </w:tcPr>
          <w:p w14:paraId="8A00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Экология</w:t>
            </w:r>
          </w:p>
        </w:tc>
      </w:tr>
      <w:tr>
        <w:trPr>
          <w:trHeight w:hRule="atLeast" w:val="2614"/>
        </w:trPr>
        <w:tc>
          <w:tcPr>
            <w:tcW w:type="dxa" w:w="551"/>
            <w:vAlign w:val="center"/>
          </w:tcPr>
          <w:p w14:paraId="8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type="dxa" w:w="2103"/>
            <w:vAlign w:val="center"/>
          </w:tcPr>
          <w:p w14:paraId="8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  <w:sz w:val="2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Молодёжный </w:t>
            </w:r>
          </w:p>
          <w:p w14:paraId="8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  <w:sz w:val="2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экологический </w:t>
            </w:r>
          </w:p>
          <w:p w14:paraId="8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  <w:sz w:val="2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форум </w:t>
            </w:r>
          </w:p>
          <w:p w14:paraId="8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  <w:sz w:val="2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«Экосистема. </w:t>
            </w:r>
          </w:p>
          <w:p w14:paraId="9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val="333333"/>
                <w:spacing w:val="0"/>
                <w:sz w:val="20"/>
              </w:rPr>
            </w:pPr>
            <w:r>
              <w:rPr>
                <w:rFonts w:ascii="Times New Roman" w:hAnsi="Times New Roman"/>
                <w:color w:val="333333"/>
                <w:spacing w:val="0"/>
                <w:sz w:val="20"/>
              </w:rPr>
              <w:t>Заповедный край»</w:t>
            </w:r>
          </w:p>
        </w:tc>
        <w:tc>
          <w:tcPr>
            <w:tcW w:type="dxa" w:w="1238"/>
            <w:vAlign w:val="center"/>
          </w:tcPr>
          <w:p w14:paraId="91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август</w:t>
            </w:r>
          </w:p>
        </w:tc>
        <w:tc>
          <w:tcPr>
            <w:tcW w:type="dxa" w:w="1053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z w:val="20"/>
                <w:highlight w:val="white"/>
              </w:rPr>
              <w:t>г. Петропавловск-Камчатский</w:t>
            </w:r>
          </w:p>
        </w:tc>
        <w:tc>
          <w:tcPr>
            <w:tcW w:type="dxa" w:w="2637"/>
            <w:vAlign w:val="center"/>
          </w:tcPr>
          <w:p w14:paraId="94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themeColor="text1" w:val="000000"/>
                <w:spacing w:val="0"/>
                <w:sz w:val="20"/>
              </w:rPr>
              <w:t>Формирование и консолидация молодежных предложений в сфере экологии для дальнейшего внедрения в общероссийскую практику. Главная тема форума – как сохранить первозданную природу</w:t>
            </w:r>
          </w:p>
        </w:tc>
        <w:tc>
          <w:tcPr>
            <w:tcW w:type="dxa" w:w="3413"/>
            <w:vAlign w:val="center"/>
          </w:tcPr>
          <w:p w14:paraId="9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color w:themeColor="text1" w:val="000000"/>
                <w:spacing w:val="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Получ</w:t>
            </w:r>
            <w:r>
              <w:rPr>
                <w:rFonts w:ascii="Times New Roman" w:hAnsi="Times New Roman"/>
                <w:sz w:val="20"/>
              </w:rPr>
              <w:t>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теоретически</w:t>
            </w:r>
            <w:r>
              <w:rPr>
                <w:rFonts w:ascii="Times New Roman" w:hAnsi="Times New Roman"/>
                <w:sz w:val="20"/>
              </w:rPr>
              <w:t>х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знани</w:t>
            </w:r>
            <w:r>
              <w:rPr>
                <w:rFonts w:ascii="Times New Roman" w:hAnsi="Times New Roman"/>
                <w:sz w:val="20"/>
              </w:rPr>
              <w:t>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от ведущих экспертов страны, прове</w:t>
            </w:r>
            <w:r>
              <w:rPr>
                <w:rFonts w:ascii="Times New Roman" w:hAnsi="Times New Roman"/>
                <w:sz w:val="20"/>
              </w:rPr>
              <w:t>дение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исследовани</w:t>
            </w:r>
            <w:r>
              <w:rPr>
                <w:rFonts w:ascii="Times New Roman" w:hAnsi="Times New Roman"/>
                <w:sz w:val="20"/>
              </w:rPr>
              <w:t>й</w:t>
            </w:r>
            <w:r>
              <w:rPr>
                <w:rFonts w:ascii="Times New Roman" w:hAnsi="Times New Roman"/>
                <w:color w:val="000000"/>
                <w:sz w:val="20"/>
              </w:rPr>
              <w:t>, практикум</w:t>
            </w:r>
            <w:r>
              <w:rPr>
                <w:rFonts w:ascii="Times New Roman" w:hAnsi="Times New Roman"/>
                <w:sz w:val="20"/>
              </w:rPr>
              <w:t>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во время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посещения природных локаций на территории Камчатского края: обустройство пешеходных маршрутов и эко-троп, </w:t>
            </w:r>
            <w:r>
              <w:rPr>
                <w:rFonts w:ascii="Times New Roman" w:hAnsi="Times New Roman"/>
                <w:color w:val="000000"/>
                <w:sz w:val="20"/>
              </w:rPr>
              <w:t>создание новых научно-образовательных туров с профессиональными гидами на вулканах Камчатки, высадка леса, отбор проб воды и воздуха.</w:t>
            </w:r>
            <w:r>
              <w:rPr>
                <w:rFonts w:ascii="Times New Roman" w:hAnsi="Times New Roman"/>
                <w:sz w:val="20"/>
              </w:rPr>
              <w:t xml:space="preserve"> Ре</w:t>
            </w:r>
            <w:r>
              <w:rPr>
                <w:rFonts w:ascii="Times New Roman" w:hAnsi="Times New Roman"/>
                <w:color w:val="000000"/>
                <w:sz w:val="20"/>
              </w:rPr>
              <w:t>зультатом форума станет большая резолюция с предложениями молодёжи по повышению экологического благополучия страны и её презентация всему экологическому сообществу России</w:t>
            </w:r>
          </w:p>
        </w:tc>
        <w:tc>
          <w:tcPr>
            <w:tcW w:type="dxa" w:w="2095"/>
            <w:vAlign w:val="center"/>
          </w:tcPr>
          <w:p w14:paraId="96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АНО «Камчатский центр реализации молодежных проектов «Экосистема»</w:t>
            </w:r>
          </w:p>
        </w:tc>
      </w:tr>
      <w:tr>
        <w:trPr>
          <w:trHeight w:hRule="atLeast" w:val="2466"/>
        </w:trPr>
        <w:tc>
          <w:tcPr>
            <w:tcW w:type="dxa" w:w="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12.</w:t>
            </w:r>
          </w:p>
        </w:tc>
        <w:tc>
          <w:tcPr>
            <w:tcW w:type="dxa" w:w="2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Международный форум по сохранению хищных видов птиц «День сокола» </w:t>
            </w:r>
          </w:p>
        </w:tc>
        <w:tc>
          <w:tcPr>
            <w:tcW w:type="dxa" w:w="12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сентябрь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Владивосток</w:t>
            </w:r>
          </w:p>
        </w:tc>
        <w:tc>
          <w:tcPr>
            <w:tcW w:type="dxa" w:w="26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spacing w:after="0" w:line="240" w:lineRule="auto"/>
              <w:ind/>
              <w:jc w:val="center"/>
              <w:rPr>
                <w:rFonts w:asciiTheme="minorAscii" w:hAnsiTheme="minorHAnsi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Форум входит в структуру мероприятий Восточного экономического форума и будет способствовать налаживанию международного сотрудничества в области сохранения биоразнообразия и сохранения хищных видов птиц</w:t>
            </w:r>
          </w:p>
        </w:tc>
        <w:tc>
          <w:tcPr>
            <w:tcW w:type="dxa" w:w="34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международного сотрудничества в области сохранения популяции хищных видов птиц, развитие сотрудничества с дружественными странами по данному направлению.</w:t>
            </w:r>
          </w:p>
        </w:tc>
        <w:tc>
          <w:tcPr>
            <w:tcW w:type="dxa" w:w="2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природных ресурсов и экологии Камчатского края</w:t>
            </w:r>
          </w:p>
        </w:tc>
      </w:tr>
      <w:tr>
        <w:trPr>
          <w:trHeight w:hRule="atLeast" w:val="571"/>
        </w:trPr>
        <w:tc>
          <w:tcPr>
            <w:tcW w:type="dxa" w:w="14887"/>
            <w:gridSpan w:val="8"/>
            <w:shd w:themeFill="text2" w:themeFillTint="99" w:val="clear"/>
            <w:vAlign w:val="center"/>
          </w:tcPr>
          <w:p w14:paraId="9F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3. Участие на уроне руководителя исполнительного органа Камчатского края</w:t>
            </w:r>
          </w:p>
        </w:tc>
      </w:tr>
      <w:tr>
        <w:trPr>
          <w:trHeight w:hRule="atLeast" w:val="455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Туризм</w:t>
            </w:r>
          </w:p>
        </w:tc>
      </w:tr>
      <w:tr>
        <w:trPr>
          <w:trHeight w:hRule="atLeast" w:val="369"/>
        </w:trPr>
        <w:tc>
          <w:tcPr>
            <w:tcW w:type="dxa" w:w="551"/>
            <w:vAlign w:val="center"/>
          </w:tcPr>
          <w:p w14:paraId="A1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type="dxa" w:w="2103"/>
            <w:vAlign w:val="center"/>
          </w:tcPr>
          <w:p w14:paraId="A2000000">
            <w:pPr>
              <w:pStyle w:val="Style_2"/>
              <w:widowControl w:val="0"/>
              <w:spacing w:line="240" w:lineRule="auto"/>
              <w:ind/>
              <w:jc w:val="center"/>
              <w:rPr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>MITT – Международная туристическая выставка MITT 2025</w:t>
            </w:r>
          </w:p>
        </w:tc>
        <w:tc>
          <w:tcPr>
            <w:tcW w:type="dxa" w:w="1238"/>
            <w:vAlign w:val="center"/>
          </w:tcPr>
          <w:p w14:paraId="A3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i w:val="0"/>
                <w:sz w:val="20"/>
              </w:rPr>
              <w:t xml:space="preserve">18-20 марта </w:t>
            </w:r>
          </w:p>
        </w:tc>
        <w:tc>
          <w:tcPr>
            <w:tcW w:type="dxa" w:w="1053"/>
            <w:vAlign w:val="center"/>
          </w:tcPr>
          <w:p w14:paraId="A4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A5000000">
            <w:pPr>
              <w:pStyle w:val="Style_2"/>
              <w:widowControl w:val="0"/>
              <w:spacing w:line="240" w:lineRule="auto"/>
              <w:ind/>
              <w:jc w:val="center"/>
              <w:rPr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 xml:space="preserve">МВЦ </w:t>
            </w:r>
            <w:r>
              <w:rPr>
                <w:sz w:val="20"/>
              </w:rPr>
              <w:br/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 xml:space="preserve">«Крокус Экспо» </w:t>
            </w:r>
            <w:r>
              <w:rPr>
                <w:sz w:val="20"/>
              </w:rPr>
              <w:br/>
            </w:r>
            <w:r>
              <w:rPr>
                <w:rFonts w:ascii="Times New Roman" w:hAnsi="Times New Roman"/>
                <w:i w:val="0"/>
                <w:color w:val="000000"/>
                <w:sz w:val="20"/>
              </w:rPr>
              <w:t>г. Москва (Россия)</w:t>
            </w:r>
          </w:p>
          <w:p w14:paraId="A6000000">
            <w:pPr>
              <w:spacing w:line="240" w:lineRule="auto"/>
              <w:ind/>
              <w:jc w:val="center"/>
              <w:rPr>
                <w:sz w:val="20"/>
              </w:rPr>
            </w:pPr>
          </w:p>
        </w:tc>
        <w:tc>
          <w:tcPr>
            <w:tcW w:type="dxa" w:w="2637"/>
            <w:vAlign w:val="center"/>
          </w:tcPr>
          <w:p w14:paraId="A7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>Развитие экспорта туристических услуг региона</w:t>
            </w:r>
          </w:p>
        </w:tc>
        <w:tc>
          <w:tcPr>
            <w:tcW w:type="dxa" w:w="3413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Развитие торгового и инвестиционного сотрудничества, установление деловых контактов с потенциальными инвесторами для совместной реализации инвестиционных проектов в Камчатском крае, презентация туристического потенциала региона</w:t>
            </w:r>
          </w:p>
        </w:tc>
        <w:tc>
          <w:tcPr>
            <w:tcW w:type="dxa" w:w="2095"/>
            <w:vAlign w:val="center"/>
          </w:tcPr>
          <w:p w14:paraId="A9000000">
            <w:pPr>
              <w:spacing w:line="240" w:lineRule="auto"/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z w:val="20"/>
              </w:rPr>
              <w:t>Министерство туризма Камчатского края</w:t>
            </w:r>
          </w:p>
        </w:tc>
      </w:tr>
      <w:tr>
        <w:trPr>
          <w:trHeight w:hRule="atLeast" w:val="480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Культур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</w:tr>
      <w:tr>
        <w:trPr>
          <w:trHeight w:hRule="atLeast" w:val="1207"/>
        </w:trPr>
        <w:tc>
          <w:tcPr>
            <w:tcW w:type="dxa" w:w="551"/>
            <w:vAlign w:val="center"/>
          </w:tcPr>
          <w:p w14:paraId="A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type="dxa" w:w="2103"/>
            <w:vAlign w:val="center"/>
          </w:tcPr>
          <w:p w14:paraId="AC000000">
            <w:pPr>
              <w:pStyle w:val="Style_2"/>
              <w:widowControl w:val="0"/>
              <w:ind/>
              <w:jc w:val="center"/>
              <w:rPr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XX юбилейная меж</w:t>
            </w:r>
            <w:r>
              <w:rPr>
                <w:rFonts w:ascii="Times New Roman" w:hAnsi="Times New Roman"/>
                <w:i w:val="0"/>
                <w:sz w:val="20"/>
              </w:rPr>
              <w:t>дународная выставка – ярмарка «Сокровища Севера.</w:t>
            </w:r>
            <w:r>
              <w:rPr>
                <w:rFonts w:ascii="Times New Roman" w:hAnsi="Times New Roman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i w:val="0"/>
                <w:sz w:val="20"/>
              </w:rPr>
              <w:t>Мастера и художники России»</w:t>
            </w:r>
          </w:p>
        </w:tc>
        <w:tc>
          <w:tcPr>
            <w:tcW w:type="dxa" w:w="1238"/>
            <w:vAlign w:val="center"/>
          </w:tcPr>
          <w:p w14:paraId="AD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28 апреля</w:t>
            </w:r>
            <w:r>
              <w:rPr>
                <w:i w:val="0"/>
                <w:sz w:val="20"/>
              </w:rPr>
              <w:t>-</w:t>
            </w:r>
            <w:r>
              <w:rPr>
                <w:rFonts w:ascii="Times New Roman" w:hAnsi="Times New Roman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i w:val="0"/>
                <w:sz w:val="20"/>
              </w:rPr>
              <w:br/>
            </w:r>
            <w:r>
              <w:rPr>
                <w:rFonts w:ascii="Times New Roman" w:hAnsi="Times New Roman"/>
                <w:i w:val="0"/>
                <w:sz w:val="20"/>
              </w:rPr>
              <w:t xml:space="preserve">2 мая </w:t>
            </w:r>
          </w:p>
          <w:p w14:paraId="AE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053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  <w:p w14:paraId="B0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797"/>
            <w:vAlign w:val="center"/>
          </w:tcPr>
          <w:p w14:paraId="B1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 ВДНХ, </w:t>
            </w:r>
            <w:r>
              <w:br/>
            </w:r>
            <w:r>
              <w:rPr>
                <w:rFonts w:ascii="Times New Roman" w:hAnsi="Times New Roman"/>
                <w:i w:val="0"/>
                <w:sz w:val="20"/>
              </w:rPr>
              <w:t>г. Москва</w:t>
            </w:r>
            <w:r>
              <w:rPr>
                <w:rFonts w:ascii="Times New Roman" w:hAnsi="Times New Roman"/>
                <w:i w:val="0"/>
                <w:sz w:val="20"/>
              </w:rPr>
              <w:t xml:space="preserve"> (Россия)</w:t>
            </w:r>
          </w:p>
          <w:p w14:paraId="B2000000">
            <w:pPr>
              <w:pStyle w:val="Style_2"/>
              <w:widowControl w:val="0"/>
              <w:ind/>
              <w:jc w:val="center"/>
              <w:rPr>
                <w:i w:val="0"/>
                <w:sz w:val="20"/>
              </w:rPr>
            </w:pPr>
          </w:p>
        </w:tc>
        <w:tc>
          <w:tcPr>
            <w:tcW w:type="dxa" w:w="2637"/>
            <w:vAlign w:val="center"/>
          </w:tcPr>
          <w:p w14:paraId="B3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Экспозиция Камчатского края.</w:t>
            </w:r>
          </w:p>
          <w:p w14:paraId="B4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Уникальная культура Камчатки</w:t>
            </w:r>
          </w:p>
          <w:p w14:paraId="B5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</w:p>
        </w:tc>
        <w:tc>
          <w:tcPr>
            <w:tcW w:type="dxa" w:w="3413"/>
            <w:vAlign w:val="center"/>
          </w:tcPr>
          <w:p w14:paraId="B6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Популяризация</w:t>
            </w:r>
          </w:p>
          <w:p w14:paraId="B7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Камчатского края,</w:t>
            </w:r>
          </w:p>
          <w:p w14:paraId="B8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повышение имиджа</w:t>
            </w:r>
          </w:p>
          <w:p w14:paraId="B9000000">
            <w:pPr>
              <w:pStyle w:val="Style_2"/>
              <w:widowControl w:val="1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региона. Участие самобытных мастеров из отдаленных с</w:t>
            </w: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е</w:t>
            </w: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л Камчатского края</w:t>
            </w:r>
          </w:p>
        </w:tc>
        <w:tc>
          <w:tcPr>
            <w:tcW w:type="dxa" w:w="2095"/>
            <w:vAlign w:val="center"/>
          </w:tcPr>
          <w:p w14:paraId="BA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культуры Камчатского края</w:t>
            </w:r>
          </w:p>
        </w:tc>
      </w:tr>
      <w:tr>
        <w:trPr>
          <w:trHeight w:hRule="atLeast" w:val="450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 xml:space="preserve">Спорт </w:t>
            </w:r>
          </w:p>
        </w:tc>
      </w:tr>
      <w:tr>
        <w:trPr>
          <w:trHeight w:hRule="atLeast" w:val="418"/>
        </w:trPr>
        <w:tc>
          <w:tcPr>
            <w:tcW w:type="dxa" w:w="551"/>
            <w:vAlign w:val="center"/>
          </w:tcPr>
          <w:p w14:paraId="B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type="dxa" w:w="2103"/>
            <w:vAlign w:val="center"/>
          </w:tcPr>
          <w:p w14:paraId="BD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Международный  форум «Россия – спортивная держава»</w:t>
            </w:r>
          </w:p>
        </w:tc>
        <w:tc>
          <w:tcPr>
            <w:tcW w:type="dxa" w:w="1238"/>
            <w:vAlign w:val="center"/>
          </w:tcPr>
          <w:p w14:paraId="BE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октябрь </w:t>
            </w:r>
          </w:p>
        </w:tc>
        <w:tc>
          <w:tcPr>
            <w:tcW w:type="dxa" w:w="1053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C0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</w:p>
          <w:p w14:paraId="C1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г. Самара </w:t>
            </w:r>
          </w:p>
          <w:p w14:paraId="C2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(Россия)</w:t>
            </w:r>
          </w:p>
          <w:p w14:paraId="C3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color w:val="000000"/>
                <w:sz w:val="20"/>
              </w:rPr>
            </w:pPr>
          </w:p>
        </w:tc>
        <w:tc>
          <w:tcPr>
            <w:tcW w:type="dxa" w:w="2637"/>
            <w:vAlign w:val="center"/>
          </w:tcPr>
          <w:p w14:paraId="C4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2_ch"/>
                <w:rFonts w:ascii="Times New Roman" w:hAnsi="Times New Roman"/>
                <w:i w:val="0"/>
                <w:sz w:val="20"/>
              </w:rPr>
              <w:t>Международный спортивный форум «Россия – спортивная держава» – одно из крупнейших мероприятий спортивной отрасли страны</w:t>
            </w:r>
            <w:r>
              <w:rPr>
                <w:rStyle w:val="Style_2_ch"/>
                <w:rFonts w:ascii="Times New Roman" w:hAnsi="Times New Roman"/>
                <w:i w:val="0"/>
                <w:sz w:val="20"/>
              </w:rPr>
              <w:t>.</w:t>
            </w:r>
          </w:p>
          <w:p w14:paraId="C5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2_ch"/>
                <w:rFonts w:ascii="Times New Roman" w:hAnsi="Times New Roman"/>
                <w:i w:val="0"/>
                <w:sz w:val="20"/>
              </w:rPr>
              <w:t xml:space="preserve">Самая авторитетная площадка в России для обсуждения ключевых тем в области физической культуры, профессионального и массового спорта </w:t>
            </w:r>
          </w:p>
        </w:tc>
        <w:tc>
          <w:tcPr>
            <w:tcW w:type="dxa" w:w="3413"/>
            <w:vAlign w:val="center"/>
          </w:tcPr>
          <w:p w14:paraId="C6000000">
            <w:pPr>
              <w:spacing w:after="0" w:before="0"/>
              <w:ind w:firstLine="0" w:left="0" w:right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Style w:val="Style_2_ch"/>
                <w:rFonts w:ascii="Times New Roman" w:hAnsi="Times New Roman"/>
                <w:i w:val="0"/>
                <w:sz w:val="20"/>
              </w:rPr>
              <w:t>Обсуждения проблем развития физической культуры и спорта, обмена опытом и налаживания партнерских отношений с коллегами из регионов России и представителями мирового спортивного сообщества, обсуждения значимости  физической культуры и спорта, демонстрации инвестиционной привлекательности спортивной инфраструктуры страны, ее материальных, интеллектуальных, информационных, научно-технических и финансовых ресурсов. Продвижение камчатских видов спорта</w:t>
            </w:r>
          </w:p>
        </w:tc>
        <w:tc>
          <w:tcPr>
            <w:tcW w:type="dxa" w:w="2095"/>
            <w:vAlign w:val="center"/>
          </w:tcPr>
          <w:p w14:paraId="C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спорта Камчатского края</w:t>
            </w:r>
          </w:p>
        </w:tc>
      </w:tr>
      <w:tr>
        <w:trPr>
          <w:trHeight w:hRule="atLeast" w:val="355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C8000000">
            <w:pPr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Многоотраслевые мероприятия</w:t>
            </w:r>
          </w:p>
        </w:tc>
      </w:tr>
      <w:tr>
        <w:trPr>
          <w:trHeight w:hRule="atLeast" w:val="403"/>
        </w:trPr>
        <w:tc>
          <w:tcPr>
            <w:tcW w:type="dxa" w:w="551"/>
            <w:vAlign w:val="center"/>
          </w:tcPr>
          <w:p w14:paraId="C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type="dxa" w:w="2103"/>
            <w:vAlign w:val="center"/>
          </w:tcPr>
          <w:p w14:paraId="CA00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Международная научно-практическая конференция</w:t>
            </w:r>
            <w:r>
              <w:rPr>
                <w:rFonts w:ascii="Times New Roman" w:hAnsi="Times New Roman"/>
                <w:i w:val="0"/>
                <w:sz w:val="20"/>
              </w:rPr>
              <w:br/>
            </w:r>
            <w:r>
              <w:rPr>
                <w:rFonts w:ascii="Times New Roman" w:hAnsi="Times New Roman"/>
                <w:i w:val="0"/>
                <w:sz w:val="20"/>
              </w:rPr>
              <w:t>«Региональные проблемы развития Дальнего Востока и Арктики (Моисеевские чтения)»</w:t>
            </w:r>
          </w:p>
        </w:tc>
        <w:tc>
          <w:tcPr>
            <w:tcW w:type="dxa" w:w="1238"/>
            <w:vAlign w:val="center"/>
          </w:tcPr>
          <w:p w14:paraId="CB000000">
            <w:pPr>
              <w:pStyle w:val="Style_2"/>
              <w:widowControl w:val="0"/>
              <w:spacing w:after="0" w:before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декабрь </w:t>
            </w:r>
          </w:p>
        </w:tc>
        <w:tc>
          <w:tcPr>
            <w:tcW w:type="dxa" w:w="1053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CD000000">
            <w:pPr>
              <w:pStyle w:val="Style_2"/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АНО «КВТЦ», </w:t>
            </w:r>
            <w:r>
              <w:rPr>
                <w:sz w:val="20"/>
              </w:rPr>
              <w:br/>
            </w:r>
            <w:r>
              <w:rPr>
                <w:rFonts w:ascii="Times New Roman" w:hAnsi="Times New Roman"/>
                <w:i w:val="0"/>
                <w:sz w:val="20"/>
              </w:rPr>
              <w:t>г. Петропавловск-Камчатский</w:t>
            </w:r>
          </w:p>
        </w:tc>
        <w:tc>
          <w:tcPr>
            <w:tcW w:type="dxa" w:w="2637"/>
            <w:vAlign w:val="center"/>
          </w:tcPr>
          <w:p w14:paraId="CE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Мероприятие проводится в целях развития межрегионального и международного сотрудничества Камчатского края с субъектами Российской Федерации и зарубежными странами по вопросам устойчивого развития экономики северных регионов и рационального использования природных ресурсов</w:t>
            </w:r>
            <w:r>
              <w:rPr>
                <w:rFonts w:ascii="Times New Roman" w:hAnsi="Times New Roman"/>
                <w:i w:val="0"/>
                <w:sz w:val="20"/>
              </w:rPr>
              <w:t>.</w:t>
            </w:r>
          </w:p>
        </w:tc>
        <w:tc>
          <w:tcPr>
            <w:tcW w:type="dxa" w:w="3413"/>
            <w:vAlign w:val="center"/>
          </w:tcPr>
          <w:p w14:paraId="CF000000">
            <w:pPr>
              <w:pStyle w:val="Style_2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 xml:space="preserve">Развитие сотрудничества с субъектами Российской Федерации и зарубежными странами, совершенствование системы научных знаний по приоритетным направлениям экономического развития Дальнего Востока и Арктики. </w:t>
            </w:r>
            <w:r>
              <w:rPr>
                <w:rFonts w:ascii="Times New Roman" w:hAnsi="Times New Roman"/>
                <w:i w:val="0"/>
                <w:color w:val="000000"/>
                <w:spacing w:val="0"/>
                <w:sz w:val="20"/>
              </w:rPr>
              <w:t>Результатом конференции является издание сборника докладов научно-практической конференции</w:t>
            </w:r>
          </w:p>
        </w:tc>
        <w:tc>
          <w:tcPr>
            <w:tcW w:type="dxa" w:w="2095"/>
            <w:vAlign w:val="center"/>
          </w:tcPr>
          <w:p w14:paraId="D0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экономического развития Камчатского края</w:t>
            </w:r>
          </w:p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  <w:shd w:fill="FFD821" w:val="clear"/>
              </w:rPr>
            </w:pPr>
          </w:p>
        </w:tc>
      </w:tr>
      <w:tr>
        <w:trPr>
          <w:trHeight w:hRule="atLeast" w:val="523"/>
        </w:trPr>
        <w:tc>
          <w:tcPr>
            <w:tcW w:type="dxa" w:w="14887"/>
            <w:gridSpan w:val="8"/>
            <w:shd w:themeFill="text2" w:themeFillTint="99" w:val="clear"/>
            <w:vAlign w:val="center"/>
          </w:tcPr>
          <w:p w14:paraId="D2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4. Участие на уровне руководителя подведомственного учреждения</w:t>
            </w:r>
          </w:p>
        </w:tc>
      </w:tr>
      <w:tr>
        <w:trPr>
          <w:trHeight w:hRule="atLeast" w:val="469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D3000000">
            <w:pPr>
              <w:pStyle w:val="Style_4"/>
              <w:widowControl w:val="1"/>
              <w:ind/>
              <w:jc w:val="center"/>
              <w:rPr>
                <w:rFonts w:ascii="Times New Roman" w:hAnsi="Times New Roman"/>
                <w:b w:val="0"/>
                <w:i w:val="1"/>
                <w:sz w:val="20"/>
              </w:rPr>
            </w:pPr>
            <w:r>
              <w:rPr>
                <w:rFonts w:ascii="Times New Roman" w:hAnsi="Times New Roman"/>
                <w:b w:val="0"/>
                <w:i w:val="1"/>
                <w:sz w:val="20"/>
              </w:rPr>
              <w:t>Рыбохозяйственный комплекс</w:t>
            </w:r>
          </w:p>
        </w:tc>
      </w:tr>
      <w:tr>
        <w:tc>
          <w:tcPr>
            <w:tcW w:type="dxa" w:w="551"/>
            <w:vAlign w:val="center"/>
          </w:tcPr>
          <w:p w14:paraId="D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type="dxa" w:w="2103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Выставка (конкурс) «Всероссийская марка (III тысячелетие). Знак качества XXI века»</w:t>
            </w:r>
          </w:p>
          <w:p w14:paraId="D6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type="dxa" w:w="1238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с января по декабрь</w:t>
            </w:r>
          </w:p>
        </w:tc>
        <w:tc>
          <w:tcPr>
            <w:tcW w:type="dxa" w:w="1053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Моск</w:t>
            </w:r>
            <w:r>
              <w:rPr>
                <w:rFonts w:ascii="Times New Roman" w:hAnsi="Times New Roman"/>
                <w:i w:val="0"/>
                <w:sz w:val="20"/>
              </w:rPr>
              <w:t>в</w:t>
            </w:r>
            <w:r>
              <w:rPr>
                <w:rFonts w:ascii="Times New Roman" w:hAnsi="Times New Roman"/>
                <w:i w:val="0"/>
                <w:sz w:val="20"/>
              </w:rPr>
              <w:t>а</w:t>
            </w:r>
          </w:p>
        </w:tc>
        <w:tc>
          <w:tcPr>
            <w:tcW w:type="dxa" w:w="2637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Повышение конкурентоспособности рыбной продукции внутри Камчатского края и за его пределами. Установление взаимовыгодных контактов, расширение торговых и кооперационных связей с другими регионами страны, а также странами СНГ и дальнего зарубежья</w:t>
            </w:r>
          </w:p>
        </w:tc>
        <w:tc>
          <w:tcPr>
            <w:tcW w:type="dxa" w:w="3413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Участие предприятий рыбохозяйственного комплекса Камчатского края в конкурсе качества продукции, паспортизации лучших отраслевых предприятий, а также региональной коллективной экспозиции рыбных продуктов. По итогам участия: присвоение рыбной продукции камчатских производителей Знаков качества российских товаров, услуг и технологий – «Всероссийская Марка (III тысячелетие). Знак качества XXI века», а также вручение предприятию паспорта «Экологически безопасный продукт» и «Предприятие высокого качества»</w:t>
            </w:r>
          </w:p>
        </w:tc>
        <w:tc>
          <w:tcPr>
            <w:tcW w:type="dxa" w:w="2095"/>
            <w:vAlign w:val="center"/>
          </w:tcPr>
          <w:p w14:paraId="DC000000">
            <w:pPr>
              <w:ind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рыбного хозяйства Камчатского края</w:t>
            </w:r>
          </w:p>
        </w:tc>
      </w:tr>
      <w:tr>
        <w:trPr>
          <w:trHeight w:hRule="atLeast" w:val="422"/>
        </w:trPr>
        <w:tc>
          <w:tcPr>
            <w:tcW w:type="dxa" w:w="14887"/>
            <w:gridSpan w:val="8"/>
            <w:shd w:themeFill="accent1" w:themeFillTint="31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Образование</w:t>
            </w:r>
          </w:p>
        </w:tc>
      </w:tr>
      <w:tr>
        <w:tc>
          <w:tcPr>
            <w:tcW w:type="dxa" w:w="551"/>
            <w:vAlign w:val="center"/>
          </w:tcPr>
          <w:p w14:paraId="DE00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18.</w:t>
            </w:r>
          </w:p>
        </w:tc>
        <w:tc>
          <w:tcPr>
            <w:tcW w:type="dxa" w:w="2103"/>
            <w:vAlign w:val="center"/>
          </w:tcPr>
          <w:p w14:paraId="DF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Всероссийская научная конференция с международным участием </w:t>
            </w:r>
          </w:p>
          <w:p w14:paraId="E0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Геотермальная вулканология, гидрогеология, геология нефти и газа</w:t>
            </w:r>
          </w:p>
          <w:p w14:paraId="E100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(GEOTHERMAL VOLCANOLOGY WORKSHOP 2025)</w:t>
            </w:r>
          </w:p>
        </w:tc>
        <w:tc>
          <w:tcPr>
            <w:tcW w:type="dxa" w:w="1238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первая половина сентябр</w:t>
            </w:r>
            <w:r>
              <w:rPr>
                <w:rFonts w:ascii="Times New Roman" w:hAnsi="Times New Roman"/>
                <w:i w:val="0"/>
                <w:sz w:val="20"/>
              </w:rPr>
              <w:t>я</w:t>
            </w:r>
          </w:p>
          <w:p w14:paraId="E3000000">
            <w:pPr>
              <w:ind/>
              <w:jc w:val="center"/>
              <w:rPr>
                <w:i w:val="0"/>
                <w:sz w:val="20"/>
                <w:shd w:fill="FFD821" w:val="clear"/>
              </w:rPr>
            </w:pPr>
          </w:p>
        </w:tc>
        <w:tc>
          <w:tcPr>
            <w:tcW w:type="dxa" w:w="1053"/>
            <w:vAlign w:val="center"/>
          </w:tcPr>
          <w:p w14:paraId="E4000000">
            <w:pPr>
              <w:ind/>
              <w:jc w:val="center"/>
              <w:rPr>
                <w:i w:val="0"/>
                <w:sz w:val="20"/>
                <w:shd w:fill="FFD821" w:val="clear"/>
              </w:rPr>
            </w:pPr>
            <w:r>
              <w:rPr>
                <w:rFonts w:ascii="Times New Roman" w:hAnsi="Times New Roman"/>
                <w:i w:val="0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г. Петропавловск-Камчатский</w:t>
            </w:r>
          </w:p>
        </w:tc>
        <w:tc>
          <w:tcPr>
            <w:tcW w:type="dxa" w:w="2637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i w:val="0"/>
                <w:sz w:val="20"/>
              </w:rPr>
              <w:t>Геонаучное</w:t>
            </w:r>
            <w:r>
              <w:rPr>
                <w:rFonts w:ascii="Times New Roman" w:hAnsi="Times New Roman"/>
                <w:i w:val="0"/>
                <w:sz w:val="20"/>
              </w:rPr>
              <w:t xml:space="preserve"> и инженерное изучение</w:t>
            </w:r>
          </w:p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гидротермальных систем и геотермальных месторождений является необходимым условием их</w:t>
            </w:r>
          </w:p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эффективного использования для тепло-электрообеспечения и рекреационных целей. Исследования</w:t>
            </w:r>
          </w:p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активных вулканических областей чрезвычайно важны для прогноза извержений вулканов,</w:t>
            </w:r>
          </w:p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гидротермальной и магматической деятельности, прогноза сильных землетрясений, понимания условий</w:t>
            </w:r>
          </w:p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формирования и эксплуатации геотермальных, гидроминеральных, рудных и углеводородных</w:t>
            </w:r>
          </w:p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месторождений сложного строения. Междисциплинарный характер и уникальное место проведения</w:t>
            </w:r>
          </w:p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конференции и полевых экскурсий нацелены на формирование прорывных идей, развитие</w:t>
            </w:r>
          </w:p>
          <w:p w14:paraId="EE00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международного научно-технического сотрудничества и многообразных приложений в науках о Земле</w:t>
            </w:r>
          </w:p>
        </w:tc>
        <w:tc>
          <w:tcPr>
            <w:tcW w:type="dxa" w:w="3413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Обмен опытом и мнениями с ведущими учеными в сферах геотермальной вулканологии, гидрогеологии. Обсуждение тем докладов, выработка общих концепций, позиций и подходов к решению тех или иных проблем и задач, обозначенных в докладах</w:t>
            </w:r>
          </w:p>
          <w:p w14:paraId="F0000000">
            <w:pPr>
              <w:ind/>
              <w:jc w:val="center"/>
              <w:rPr>
                <w:i w:val="0"/>
                <w:sz w:val="20"/>
                <w:shd w:fill="FFD821" w:val="clear"/>
              </w:rPr>
            </w:pPr>
          </w:p>
        </w:tc>
        <w:tc>
          <w:tcPr>
            <w:tcW w:type="dxa" w:w="2095"/>
            <w:vAlign w:val="center"/>
          </w:tcPr>
          <w:p w14:paraId="F100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rStyle w:val="Style_2_ch"/>
                <w:i w:val="0"/>
                <w:sz w:val="20"/>
              </w:rPr>
              <w:t>Федеральное государственное бюджетное учреждение науки Институт вулканологии и сейсмологии Дальневосточного отделения Российской академии наук</w:t>
            </w:r>
          </w:p>
          <w:p w14:paraId="F2000000">
            <w:pPr>
              <w:ind/>
              <w:jc w:val="center"/>
              <w:rPr>
                <w:i w:val="0"/>
                <w:sz w:val="20"/>
              </w:rPr>
            </w:pPr>
          </w:p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образования Камчатского края</w:t>
            </w:r>
          </w:p>
          <w:p w14:paraId="F4000000">
            <w:pPr>
              <w:ind/>
              <w:jc w:val="center"/>
              <w:rPr>
                <w:i w:val="0"/>
                <w:sz w:val="20"/>
              </w:rPr>
            </w:pPr>
          </w:p>
        </w:tc>
      </w:tr>
      <w:tr>
        <w:tc>
          <w:tcPr>
            <w:tcW w:type="dxa" w:w="551"/>
            <w:vAlign w:val="center"/>
          </w:tcPr>
          <w:p w14:paraId="F500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19.</w:t>
            </w:r>
          </w:p>
        </w:tc>
        <w:tc>
          <w:tcPr>
            <w:tcW w:type="dxa" w:w="2103"/>
            <w:vAlign w:val="center"/>
          </w:tcPr>
          <w:p w14:paraId="F6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«Мероприятие-спутник IV Конгресс молодых ученых»</w:t>
            </w:r>
          </w:p>
        </w:tc>
        <w:tc>
          <w:tcPr>
            <w:tcW w:type="dxa" w:w="1238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первая половина </w:t>
            </w:r>
            <w:r>
              <w:rPr>
                <w:rFonts w:ascii="Times New Roman" w:hAnsi="Times New Roman"/>
                <w:i w:val="0"/>
                <w:sz w:val="20"/>
              </w:rPr>
              <w:t xml:space="preserve">сентября </w:t>
            </w:r>
          </w:p>
        </w:tc>
        <w:tc>
          <w:tcPr>
            <w:tcW w:type="dxa" w:w="1053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г. Петропавловск-Камчатский (Россия)</w:t>
            </w:r>
          </w:p>
        </w:tc>
        <w:tc>
          <w:tcPr>
            <w:tcW w:type="dxa" w:w="2637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Форум посвящён проблемам и перспективам научных исследований в регионе</w:t>
            </w:r>
            <w:r>
              <w:rPr>
                <w:rFonts w:ascii="Times New Roman" w:hAnsi="Times New Roman"/>
                <w:i w:val="0"/>
                <w:sz w:val="20"/>
              </w:rPr>
              <w:t xml:space="preserve">. </w:t>
            </w:r>
            <w:r>
              <w:rPr>
                <w:rFonts w:ascii="Times New Roman" w:hAnsi="Times New Roman"/>
                <w:i w:val="0"/>
                <w:sz w:val="20"/>
              </w:rPr>
              <w:t xml:space="preserve">Более 100 участников – представители науки, бизнеса, органов исполнительной власти региона, </w:t>
            </w:r>
            <w:r>
              <w:rPr>
                <w:rFonts w:ascii="Times New Roman" w:hAnsi="Times New Roman"/>
                <w:i w:val="0"/>
                <w:sz w:val="20"/>
              </w:rPr>
              <w:t xml:space="preserve">будут </w:t>
            </w:r>
            <w:r>
              <w:rPr>
                <w:rFonts w:ascii="Times New Roman" w:hAnsi="Times New Roman"/>
                <w:i w:val="0"/>
                <w:sz w:val="20"/>
              </w:rPr>
              <w:t>работа</w:t>
            </w:r>
            <w:r>
              <w:rPr>
                <w:rFonts w:ascii="Times New Roman" w:hAnsi="Times New Roman"/>
                <w:i w:val="0"/>
                <w:sz w:val="20"/>
              </w:rPr>
              <w:t>ть</w:t>
            </w:r>
            <w:r>
              <w:rPr>
                <w:rFonts w:ascii="Times New Roman" w:hAnsi="Times New Roman"/>
                <w:i w:val="0"/>
                <w:sz w:val="20"/>
              </w:rPr>
              <w:t xml:space="preserve"> над решением практических задач по снижению негативного влияния природных последствий для жизнедеятельности полуострова Камчатка.</w:t>
            </w:r>
          </w:p>
        </w:tc>
        <w:tc>
          <w:tcPr>
            <w:tcW w:type="dxa" w:w="3413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Мероприятия-спутники в рамках Конгресса проводятся ежегодно с целью вовлечения российского научного сообщества в решение важнейших задач регионов России. В ходе мероприятий-спутников эксперты разрабатывают практические проекты для решения региональных задач.</w:t>
            </w:r>
            <w:r>
              <w:rPr>
                <w:rFonts w:ascii="Times New Roman" w:hAnsi="Times New Roman"/>
                <w:i w:val="0"/>
                <w:sz w:val="20"/>
              </w:rPr>
              <w:t xml:space="preserve">     </w:t>
            </w:r>
          </w:p>
        </w:tc>
        <w:tc>
          <w:tcPr>
            <w:tcW w:type="dxa" w:w="2095"/>
            <w:vAlign w:val="center"/>
          </w:tcPr>
          <w:p w14:paraId="FC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Камчатский государственный университет им. Витуса Беринга</w:t>
            </w:r>
          </w:p>
          <w:p w14:paraId="FD00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</w:p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образования Камчатского края</w:t>
            </w:r>
          </w:p>
          <w:p w14:paraId="FF000000">
            <w:pPr>
              <w:ind/>
              <w:jc w:val="center"/>
              <w:rPr>
                <w:i w:val="0"/>
                <w:sz w:val="20"/>
              </w:rPr>
            </w:pPr>
          </w:p>
        </w:tc>
      </w:tr>
      <w:tr>
        <w:trPr>
          <w:trHeight w:hRule="atLeast" w:val="989"/>
        </w:trPr>
        <w:tc>
          <w:tcPr>
            <w:tcW w:type="dxa" w:w="551"/>
            <w:vAlign w:val="center"/>
          </w:tcPr>
          <w:p w14:paraId="00010000">
            <w:pPr>
              <w:ind/>
              <w:jc w:val="center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20.</w:t>
            </w:r>
          </w:p>
        </w:tc>
        <w:tc>
          <w:tcPr>
            <w:tcW w:type="dxa" w:w="2103"/>
            <w:vAlign w:val="center"/>
          </w:tcPr>
          <w:p w14:paraId="01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Международная научно-практическая конференция «Актуальные вопросы социально-экономического и политико-правового развития современной России»</w:t>
            </w:r>
          </w:p>
          <w:p w14:paraId="02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</w:p>
        </w:tc>
        <w:tc>
          <w:tcPr>
            <w:tcW w:type="dxa" w:w="1238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первая половина </w:t>
            </w:r>
            <w:r>
              <w:rPr>
                <w:rFonts w:ascii="Times New Roman" w:hAnsi="Times New Roman"/>
                <w:i w:val="0"/>
                <w:sz w:val="20"/>
              </w:rPr>
              <w:t>декабр</w:t>
            </w:r>
            <w:r>
              <w:rPr>
                <w:rFonts w:ascii="Times New Roman" w:hAnsi="Times New Roman"/>
                <w:i w:val="0"/>
                <w:sz w:val="20"/>
              </w:rPr>
              <w:t>я</w:t>
            </w:r>
          </w:p>
        </w:tc>
        <w:tc>
          <w:tcPr>
            <w:tcW w:type="dxa" w:w="1053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  <w:shd w:fill="FFD821" w:val="clear"/>
              </w:rPr>
            </w:pPr>
            <w:r>
              <w:rPr>
                <w:rFonts w:ascii="Times New Roman" w:hAnsi="Times New Roman"/>
                <w:i w:val="0"/>
                <w:sz w:val="20"/>
              </w:rPr>
              <w:t>Очно</w:t>
            </w:r>
          </w:p>
        </w:tc>
        <w:tc>
          <w:tcPr>
            <w:tcW w:type="dxa" w:w="1797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г. Петропавловск-Камчатский </w:t>
            </w:r>
            <w:r>
              <w:rPr>
                <w:rFonts w:ascii="Times New Roman" w:hAnsi="Times New Roman"/>
                <w:i w:val="0"/>
                <w:sz w:val="20"/>
              </w:rPr>
              <w:t>(Россия)</w:t>
            </w:r>
          </w:p>
        </w:tc>
        <w:tc>
          <w:tcPr>
            <w:tcW w:type="dxa" w:w="2637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В ходе работы конференции будут рассмотрены вопросы </w:t>
            </w:r>
            <w:r>
              <w:rPr>
                <w:rFonts w:ascii="Times New Roman" w:hAnsi="Times New Roman"/>
                <w:i w:val="0"/>
                <w:sz w:val="20"/>
              </w:rPr>
              <w:t xml:space="preserve">современного состояния и условий развития экономики России, </w:t>
            </w:r>
            <w:r>
              <w:rPr>
                <w:rFonts w:ascii="Times New Roman" w:hAnsi="Times New Roman"/>
                <w:i w:val="0"/>
                <w:sz w:val="20"/>
              </w:rPr>
              <w:t>актуальные вопросы внешнеэкономических связей;</w:t>
            </w:r>
            <w:r>
              <w:rPr>
                <w:rFonts w:ascii="Times New Roman" w:hAnsi="Times New Roman"/>
                <w:i w:val="0"/>
                <w:sz w:val="20"/>
              </w:rPr>
              <w:t xml:space="preserve"> проблемы современного уголовного права и уголовного процесса и </w:t>
            </w:r>
            <w:r>
              <w:rPr>
                <w:rFonts w:ascii="Times New Roman" w:hAnsi="Times New Roman"/>
                <w:i w:val="0"/>
                <w:sz w:val="20"/>
              </w:rPr>
              <w:t>современного конституционного и предпринимательского права.</w:t>
            </w:r>
          </w:p>
        </w:tc>
        <w:tc>
          <w:tcPr>
            <w:tcW w:type="dxa" w:w="3413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В рамках конференции планируется обсудить основные </w:t>
            </w:r>
            <w:r>
              <w:rPr>
                <w:rFonts w:ascii="Times New Roman" w:hAnsi="Times New Roman"/>
                <w:i w:val="0"/>
                <w:sz w:val="20"/>
              </w:rPr>
              <w:t>результаты актуальных научных исследований учёных, научно-педагогических работников, специалистов-практиков, представителей органов государственной власти и местного самоуправления, руководителей предприятий и организаций реального сектора экономики различных форм собственности, студентов высших образовательных учреждений Российского Дальнего Востока и стран АТР.</w:t>
            </w:r>
          </w:p>
        </w:tc>
        <w:tc>
          <w:tcPr>
            <w:tcW w:type="dxa" w:w="2095"/>
            <w:vAlign w:val="center"/>
          </w:tcPr>
          <w:p w14:paraId="08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 xml:space="preserve">Дальневосточный </w:t>
            </w:r>
          </w:p>
          <w:p w14:paraId="09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филиал</w:t>
            </w:r>
          </w:p>
          <w:p w14:paraId="0A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Федерального государственного бюджетного</w:t>
            </w:r>
          </w:p>
          <w:p w14:paraId="0B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образовательного учреждения высшего образования</w:t>
            </w:r>
          </w:p>
          <w:p w14:paraId="0C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«Всероссийская академия внешней торговли</w:t>
            </w:r>
          </w:p>
          <w:p w14:paraId="0D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Министерства экономического развития</w:t>
            </w:r>
          </w:p>
          <w:p w14:paraId="0E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Российской Федерации»</w:t>
            </w:r>
          </w:p>
          <w:p w14:paraId="0F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</w:p>
          <w:p w14:paraId="10010000">
            <w:pPr>
              <w:pStyle w:val="Style_2"/>
              <w:widowControl w:val="0"/>
              <w:ind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Министерство образования Камчатского края</w:t>
            </w:r>
          </w:p>
        </w:tc>
      </w:tr>
    </w:tbl>
    <w:p w14:paraId="11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pgSz w:h="11906" w:orient="landscape" w:w="16838"/>
      <w:pgMar w:bottom="850" w:footer="708" w:gutter="0" w:header="708" w:left="1134" w:right="96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column">
                <wp:posOffset>4616528</wp:posOffset>
              </wp:positionH>
              <wp:positionV relativeFrom="page">
                <wp:posOffset>449580</wp:posOffset>
              </wp:positionV>
              <wp:extent cx="126842" cy="380625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6842" cy="380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0"/>
                            </w:rPr>
                          </w:pP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5" w:type="paragraph">
    <w:name w:val="toc 2"/>
    <w:next w:val="Style_2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2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Гиперссылка1"/>
    <w:link w:val="Style_7_ch"/>
    <w:rPr>
      <w:color w:val="0000FF"/>
      <w:u w:val="single"/>
    </w:rPr>
  </w:style>
  <w:style w:styleId="Style_7_ch" w:type="character">
    <w:name w:val="Гиперссылка1"/>
    <w:link w:val="Style_7"/>
    <w:rPr>
      <w:color w:val="0000FF"/>
      <w:u w:val="single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4" w:type="paragraph">
    <w:name w:val="ConsPlusTitle"/>
    <w:link w:val="Style_4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4_ch" w:type="character">
    <w:name w:val="ConsPlusTitle"/>
    <w:link w:val="Style_4"/>
    <w:rPr>
      <w:rFonts w:ascii="Arial" w:hAnsi="Arial"/>
      <w:b w:val="1"/>
      <w:sz w:val="20"/>
    </w:rPr>
  </w:style>
  <w:style w:styleId="Style_9" w:type="paragraph">
    <w:name w:val="toc 6"/>
    <w:next w:val="Style_2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basedOn w:val="Style_2"/>
    <w:next w:val="Style_2"/>
    <w:link w:val="Style_11_ch"/>
    <w:uiPriority w:val="9"/>
    <w:qFormat/>
    <w:pPr>
      <w:keepNext w:val="1"/>
      <w:keepLines w:val="1"/>
      <w:spacing w:after="0" w:before="40"/>
      <w:ind/>
      <w:outlineLvl w:val="2"/>
    </w:pPr>
    <w:rPr>
      <w:rFonts w:asciiTheme="majorAscii" w:hAnsiTheme="majorHAnsi"/>
      <w:color w:themeColor="accent1" w:themeShade="7F" w:val="1F4E79"/>
      <w:sz w:val="24"/>
    </w:rPr>
  </w:style>
  <w:style w:styleId="Style_11_ch" w:type="character">
    <w:name w:val="heading 3"/>
    <w:basedOn w:val="Style_2_ch"/>
    <w:link w:val="Style_11"/>
    <w:rPr>
      <w:rFonts w:asciiTheme="majorAscii" w:hAnsiTheme="majorHAnsi"/>
      <w:color w:themeColor="accent1" w:themeShade="7F" w:val="1F4E79"/>
      <w:sz w:val="24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2" w:type="paragraph">
    <w:name w:val="Normal (Web)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12_ch" w:type="character">
    <w:name w:val="Normal (Web)"/>
    <w:basedOn w:val="Style_2_ch"/>
    <w:link w:val="Style_12"/>
    <w:rPr>
      <w:rFonts w:ascii="Times New Roman" w:hAnsi="Times New Roman"/>
      <w:color w:val="000000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2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2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heading 1"/>
    <w:basedOn w:val="Style_2"/>
    <w:next w:val="Style_2"/>
    <w:link w:val="Style_17_ch"/>
    <w:uiPriority w:val="9"/>
    <w:qFormat/>
    <w:pPr>
      <w:keepNext w:val="1"/>
      <w:keepLines w:val="1"/>
      <w:spacing w:after="0"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7_ch" w:type="character">
    <w:name w:val="heading 1"/>
    <w:basedOn w:val="Style_2_ch"/>
    <w:link w:val="Style_17"/>
    <w:rPr>
      <w:rFonts w:asciiTheme="majorAscii" w:hAnsiTheme="majorHAnsi"/>
      <w:color w:themeColor="accent1" w:themeShade="BF" w:val="2E75B5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</w:rPr>
  </w:style>
  <w:style w:styleId="Style_19_ch" w:type="character">
    <w:name w:val="Footnote"/>
    <w:link w:val="Style_19"/>
    <w:rPr>
      <w:rFonts w:ascii="XO Thames" w:hAnsi="XO Thames"/>
    </w:rPr>
  </w:style>
  <w:style w:styleId="Style_20" w:type="paragraph">
    <w:name w:val="toc 1"/>
    <w:next w:val="Style_2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2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2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footer"/>
    <w:basedOn w:val="Style_2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4_ch" w:type="character">
    <w:name w:val="footer"/>
    <w:basedOn w:val="Style_2_ch"/>
    <w:link w:val="Style_24"/>
  </w:style>
  <w:style w:styleId="Style_25" w:type="paragraph">
    <w:name w:val="ConsPlusNormal"/>
    <w:link w:val="Style_25_ch"/>
    <w:pPr>
      <w:widowControl w:val="0"/>
      <w:spacing w:after="0" w:line="240" w:lineRule="auto"/>
      <w:ind/>
    </w:pPr>
    <w:rPr>
      <w:rFonts w:ascii="Calibri" w:hAnsi="Calibri"/>
    </w:rPr>
  </w:style>
  <w:style w:styleId="Style_25_ch" w:type="character">
    <w:name w:val="ConsPlusNormal"/>
    <w:link w:val="Style_25"/>
    <w:rPr>
      <w:rFonts w:ascii="Calibri" w:hAnsi="Calibri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toc 5"/>
    <w:next w:val="Style_2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Строгий1"/>
    <w:basedOn w:val="Style_16"/>
    <w:link w:val="Style_29_ch"/>
    <w:rPr>
      <w:b w:val="1"/>
    </w:rPr>
  </w:style>
  <w:style w:styleId="Style_29_ch" w:type="character">
    <w:name w:val="Строгий1"/>
    <w:basedOn w:val="Style_16_ch"/>
    <w:link w:val="Style_29"/>
    <w:rPr>
      <w:b w:val="1"/>
    </w:rPr>
  </w:style>
  <w:style w:styleId="Style_30" w:type="paragraph">
    <w:name w:val="Title"/>
    <w:next w:val="Style_2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2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2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" w:type="table">
    <w:name w:val="Table Grid"/>
    <w:basedOn w:val="Style_3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2024-12-25T05:00:37Z</dcterms:modified>
</cp:coreProperties>
</file>