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Доклад по вопросу:</w:t>
      </w:r>
    </w:p>
    <w:p w14:paraId="02000000">
      <w:pPr>
        <w:ind/>
        <w:jc w:val="center"/>
        <w:rPr>
          <w:rStyle w:val="Style_1_ch"/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«О п</w:t>
      </w:r>
      <w:r>
        <w:rPr>
          <w:rStyle w:val="Style_1_ch"/>
          <w:rFonts w:ascii="Times New Roman" w:hAnsi="Times New Roman"/>
          <w:b w:val="1"/>
        </w:rPr>
        <w:t>одведении промежуточных итогов деятельности</w:t>
      </w:r>
    </w:p>
    <w:p w14:paraId="03000000">
      <w:pPr>
        <w:ind/>
        <w:jc w:val="center"/>
        <w:rPr>
          <w:rFonts w:ascii="Times New Roman" w:hAnsi="Times New Roman"/>
          <w:b w:val="1"/>
        </w:rPr>
      </w:pPr>
      <w:r>
        <w:rPr>
          <w:rStyle w:val="Style_1_ch"/>
          <w:rFonts w:ascii="Times New Roman" w:hAnsi="Times New Roman"/>
          <w:b w:val="1"/>
        </w:rPr>
        <w:t>Центра поддержки экспорта Камчатского края</w:t>
      </w: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</w:rPr>
        <w:t>год»</w:t>
      </w:r>
    </w:p>
    <w:p w14:paraId="04000000">
      <w:pPr>
        <w:ind/>
        <w:jc w:val="center"/>
        <w:rPr>
          <w:rFonts w:ascii="Times New Roman" w:hAnsi="Times New Roman"/>
        </w:rPr>
      </w:pPr>
    </w:p>
    <w:p w14:paraId="05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Добрый день, уважаемые коллеги!</w:t>
      </w:r>
    </w:p>
    <w:p w14:paraId="06000000">
      <w:pPr>
        <w:ind/>
        <w:jc w:val="center"/>
        <w:rPr>
          <w:rFonts w:ascii="Times New Roman" w:hAnsi="Times New Roman"/>
        </w:rPr>
      </w:pPr>
    </w:p>
    <w:p w14:paraId="07000000">
      <w:pPr>
        <w:ind w:firstLine="567"/>
        <w:rPr>
          <w:rStyle w:val="Style_1_ch"/>
          <w:rFonts w:ascii="Times New Roman" w:hAnsi="Times New Roman"/>
        </w:rPr>
      </w:pPr>
      <w:r>
        <w:rPr>
          <w:rFonts w:ascii="Times New Roman" w:hAnsi="Times New Roman"/>
        </w:rPr>
        <w:t xml:space="preserve">В 1-м полугодии </w:t>
      </w:r>
      <w:r>
        <w:rPr>
          <w:rFonts w:ascii="Times New Roman" w:hAnsi="Times New Roman"/>
        </w:rPr>
        <w:t>2005 г.</w:t>
      </w:r>
      <w:r>
        <w:rPr>
          <w:rFonts w:ascii="Times New Roman" w:hAnsi="Times New Roman"/>
        </w:rPr>
        <w:t xml:space="preserve"> Центр поддержки экспорта </w:t>
      </w:r>
      <w:r>
        <w:rPr>
          <w:rFonts w:ascii="Times New Roman" w:hAnsi="Times New Roman"/>
        </w:rPr>
        <w:t xml:space="preserve">Камчатского края </w:t>
      </w:r>
      <w:r>
        <w:rPr>
          <w:rFonts w:ascii="Times New Roman" w:hAnsi="Times New Roman"/>
        </w:rPr>
        <w:t xml:space="preserve">решал задачи, определенные </w:t>
      </w:r>
      <w:r>
        <w:rPr>
          <w:rStyle w:val="Style_1_ch"/>
          <w:rFonts w:ascii="Times New Roman" w:hAnsi="Times New Roman"/>
        </w:rPr>
        <w:t>Региональной программ</w:t>
      </w:r>
      <w:r>
        <w:rPr>
          <w:rStyle w:val="Style_1_ch"/>
          <w:rFonts w:ascii="Times New Roman" w:hAnsi="Times New Roman"/>
        </w:rPr>
        <w:t>ой</w:t>
      </w:r>
      <w:r>
        <w:rPr>
          <w:rStyle w:val="Style_1_ch"/>
          <w:rFonts w:ascii="Times New Roman" w:hAnsi="Times New Roman"/>
        </w:rPr>
        <w:t xml:space="preserve"> развития экспорта Камчатского края </w:t>
      </w:r>
      <w:r>
        <w:rPr>
          <w:rStyle w:val="Style_1_ch"/>
          <w:rFonts w:ascii="Times New Roman" w:hAnsi="Times New Roman"/>
        </w:rPr>
        <w:t>на 2024–2027</w:t>
      </w:r>
      <w:r>
        <w:rPr>
          <w:rStyle w:val="Style_1_ch"/>
          <w:rFonts w:ascii="Times New Roman" w:hAnsi="Times New Roman"/>
        </w:rPr>
        <w:t> </w:t>
      </w:r>
      <w:r>
        <w:rPr>
          <w:rStyle w:val="Style_1_ch"/>
          <w:rFonts w:ascii="Times New Roman" w:hAnsi="Times New Roman"/>
        </w:rPr>
        <w:t>гг</w:t>
      </w:r>
      <w:r>
        <w:rPr>
          <w:rStyle w:val="Style_1_ch"/>
          <w:rFonts w:ascii="Times New Roman" w:hAnsi="Times New Roman"/>
        </w:rPr>
        <w:t>.</w:t>
      </w:r>
      <w:r>
        <w:rPr>
          <w:rStyle w:val="Style_1_ch"/>
          <w:rFonts w:ascii="Times New Roman" w:hAnsi="Times New Roman"/>
        </w:rPr>
        <w:t xml:space="preserve"> (в действующей редакции), разработанной на основании </w:t>
      </w:r>
      <w:r>
        <w:rPr>
          <w:rStyle w:val="Style_1_ch"/>
          <w:rFonts w:ascii="Times New Roman" w:hAnsi="Times New Roman"/>
        </w:rPr>
        <w:t>государственной</w:t>
      </w:r>
      <w:r>
        <w:rPr>
          <w:rStyle w:val="Style_1_ch"/>
          <w:rFonts w:ascii="Times New Roman" w:hAnsi="Times New Roman"/>
        </w:rPr>
        <w:t xml:space="preserve"> программы </w:t>
      </w:r>
      <w:r>
        <w:rPr>
          <w:rStyle w:val="Style_1_ch"/>
          <w:rFonts w:ascii="Times New Roman" w:hAnsi="Times New Roman"/>
        </w:rPr>
        <w:t>«Развитие</w:t>
      </w:r>
      <w:r>
        <w:rPr>
          <w:rStyle w:val="Style_1_ch"/>
          <w:rFonts w:ascii="Times New Roman" w:hAnsi="Times New Roman"/>
        </w:rPr>
        <w:t xml:space="preserve"> </w:t>
      </w:r>
      <w:r>
        <w:rPr>
          <w:rStyle w:val="Style_1_ch"/>
          <w:rFonts w:ascii="Times New Roman" w:hAnsi="Times New Roman"/>
        </w:rPr>
        <w:t>экономики</w:t>
      </w:r>
      <w:r>
        <w:rPr>
          <w:rStyle w:val="Style_1_ch"/>
          <w:rFonts w:ascii="Times New Roman" w:hAnsi="Times New Roman"/>
        </w:rPr>
        <w:t xml:space="preserve"> </w:t>
      </w:r>
      <w:r>
        <w:rPr>
          <w:rStyle w:val="Style_1_ch"/>
          <w:rFonts w:ascii="Times New Roman" w:hAnsi="Times New Roman"/>
        </w:rPr>
        <w:t>и</w:t>
      </w:r>
      <w:r>
        <w:rPr>
          <w:rStyle w:val="Style_1_ch"/>
          <w:rFonts w:ascii="Times New Roman" w:hAnsi="Times New Roman"/>
        </w:rPr>
        <w:t xml:space="preserve"> </w:t>
      </w:r>
      <w:r>
        <w:rPr>
          <w:rStyle w:val="Style_1_ch"/>
          <w:rFonts w:ascii="Times New Roman" w:hAnsi="Times New Roman"/>
        </w:rPr>
        <w:t>внешнеэкономической</w:t>
      </w:r>
      <w:r>
        <w:rPr>
          <w:rStyle w:val="Style_1_ch"/>
          <w:rFonts w:ascii="Times New Roman" w:hAnsi="Times New Roman"/>
        </w:rPr>
        <w:t xml:space="preserve"> </w:t>
      </w:r>
      <w:r>
        <w:rPr>
          <w:rStyle w:val="Style_1_ch"/>
          <w:rFonts w:ascii="Times New Roman" w:hAnsi="Times New Roman"/>
        </w:rPr>
        <w:t>деятельности</w:t>
      </w:r>
      <w:r>
        <w:rPr>
          <w:rStyle w:val="Style_1_ch"/>
          <w:rFonts w:ascii="Times New Roman" w:hAnsi="Times New Roman"/>
        </w:rPr>
        <w:t xml:space="preserve"> </w:t>
      </w:r>
      <w:r>
        <w:rPr>
          <w:rStyle w:val="Style_1_ch"/>
          <w:rFonts w:ascii="Times New Roman" w:hAnsi="Times New Roman"/>
        </w:rPr>
        <w:t>Камчатского</w:t>
      </w:r>
      <w:r>
        <w:rPr>
          <w:rStyle w:val="Style_1_ch"/>
          <w:rFonts w:ascii="Times New Roman" w:hAnsi="Times New Roman"/>
        </w:rPr>
        <w:t xml:space="preserve"> </w:t>
      </w:r>
      <w:r>
        <w:rPr>
          <w:rStyle w:val="Style_1_ch"/>
          <w:rFonts w:ascii="Times New Roman" w:hAnsi="Times New Roman"/>
        </w:rPr>
        <w:t>края»</w:t>
      </w:r>
      <w:r>
        <w:rPr>
          <w:rStyle w:val="Style_1_ch"/>
          <w:rFonts w:ascii="Times New Roman" w:hAnsi="Times New Roman"/>
        </w:rPr>
        <w:t>.</w:t>
      </w:r>
    </w:p>
    <w:p w14:paraId="08000000">
      <w:pPr>
        <w:ind w:firstLine="567"/>
        <w:rPr>
          <w:rFonts w:ascii="Times New Roman" w:hAnsi="Times New Roman"/>
        </w:rPr>
      </w:pPr>
      <w:r>
        <w:rPr>
          <w:rStyle w:val="Style_1_ch"/>
          <w:rFonts w:ascii="Times New Roman" w:hAnsi="Times New Roman"/>
        </w:rPr>
        <w:t>Ни</w:t>
      </w:r>
      <w:r>
        <w:rPr>
          <w:rStyle w:val="Style_1_ch"/>
          <w:rFonts w:ascii="Times New Roman" w:hAnsi="Times New Roman"/>
        </w:rPr>
        <w:t>ж</w:t>
      </w:r>
      <w:r>
        <w:rPr>
          <w:rStyle w:val="Style_1_ch"/>
          <w:rFonts w:ascii="Times New Roman" w:hAnsi="Times New Roman"/>
        </w:rPr>
        <w:t>е представлены основные направления деятельности Центра (услуги), направленные на решение поставленных задач</w:t>
      </w:r>
      <w:r>
        <w:rPr>
          <w:rStyle w:val="Style_1_ch"/>
          <w:rFonts w:ascii="Times New Roman" w:hAnsi="Times New Roman"/>
        </w:rPr>
        <w:t xml:space="preserve"> </w:t>
      </w:r>
      <w:r>
        <w:rPr>
          <w:rStyle w:val="Style_1_ch"/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указанном периоде.</w:t>
      </w:r>
    </w:p>
    <w:tbl>
      <w:tblPr>
        <w:tblStyle w:val="Style_2"/>
        <w:tblW w:type="auto" w:w="0"/>
        <w:tblLayout w:type="fixed"/>
      </w:tblPr>
      <w:tblGrid>
        <w:gridCol w:w="3285"/>
        <w:gridCol w:w="6570"/>
      </w:tblGrid>
      <w:tr>
        <w:tc>
          <w:tcPr>
            <w:tcW w:type="dxa" w:w="3285"/>
          </w:tcPr>
          <w:p w14:paraId="0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  <w:r>
              <w:rPr>
                <w:rFonts w:ascii="Times New Roman" w:hAnsi="Times New Roman"/>
                <w:sz w:val="24"/>
              </w:rPr>
              <w:t xml:space="preserve"> программы</w:t>
            </w:r>
          </w:p>
        </w:tc>
        <w:tc>
          <w:tcPr>
            <w:tcW w:type="dxa" w:w="6570"/>
            <w:vAlign w:val="center"/>
          </w:tcPr>
          <w:p w14:paraId="0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результатов в 1-м полугодии</w:t>
            </w:r>
          </w:p>
        </w:tc>
      </w:tr>
      <w:tr>
        <w:tc>
          <w:tcPr>
            <w:tcW w:type="dxa" w:w="9855"/>
            <w:gridSpan w:val="2"/>
            <w:shd w:themeFill="accent5" w:themeFillTint="32" w:val="clear"/>
          </w:tcPr>
          <w:p w14:paraId="0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Задача «Организационные мероприятия»</w:t>
            </w:r>
          </w:p>
        </w:tc>
      </w:tr>
      <w:tr>
        <w:tc>
          <w:tcPr>
            <w:tcW w:type="dxa" w:w="3285"/>
          </w:tcPr>
          <w:p w14:paraId="0C000000">
            <w:pPr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Рабочая группа по улучшению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инвест</w:t>
            </w:r>
            <w:r>
              <w:rPr>
                <w:rFonts w:ascii="Times New Roman" w:hAnsi="Times New Roman"/>
                <w:sz w:val="24"/>
              </w:rPr>
              <w:t>климата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направлению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«Экспорт»</w:t>
            </w:r>
          </w:p>
        </w:tc>
        <w:tc>
          <w:tcPr>
            <w:tcW w:type="dxa" w:w="6570"/>
            <w:vAlign w:val="center"/>
          </w:tcPr>
          <w:p w14:paraId="0D000000">
            <w:pPr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заседаний Рабочей группы, в рамках которых – </w:t>
            </w:r>
            <w:r>
              <w:rPr>
                <w:rFonts w:ascii="Times New Roman" w:hAnsi="Times New Roman"/>
                <w:sz w:val="24"/>
              </w:rPr>
              <w:t>10 мастер-классов для 46 субъектов МСП</w:t>
            </w:r>
          </w:p>
        </w:tc>
      </w:tr>
      <w:tr>
        <w:tc>
          <w:tcPr>
            <w:tcW w:type="dxa" w:w="3285"/>
          </w:tcPr>
          <w:p w14:paraId="0E000000">
            <w:pPr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 к запросам иностранных покупателей</w:t>
            </w:r>
          </w:p>
        </w:tc>
        <w:tc>
          <w:tcPr>
            <w:tcW w:type="dxa" w:w="6570"/>
            <w:vAlign w:val="center"/>
          </w:tcPr>
          <w:p w14:paraId="0F000000">
            <w:pPr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Запрос покупателя рыбопродукции из Республики Корея для 1 субъекта</w:t>
            </w:r>
          </w:p>
        </w:tc>
      </w:tr>
      <w:tr>
        <w:tc>
          <w:tcPr>
            <w:tcW w:type="dxa" w:w="9855"/>
            <w:gridSpan w:val="2"/>
            <w:shd w:themeFill="accent5" w:themeFillTint="32" w:val="clear"/>
          </w:tcPr>
          <w:p w14:paraId="10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Задача </w:t>
            </w:r>
            <w:r>
              <w:rPr>
                <w:rFonts w:ascii="Times New Roman" w:hAnsi="Times New Roman"/>
                <w:b w:val="1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Продвижение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экспортной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деятельности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в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Камчатском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крае</w:t>
            </w:r>
            <w:r>
              <w:rPr>
                <w:rFonts w:ascii="Times New Roman" w:hAnsi="Times New Roman"/>
                <w:b w:val="1"/>
                <w:sz w:val="24"/>
              </w:rPr>
              <w:t>»</w:t>
            </w:r>
          </w:p>
        </w:tc>
      </w:tr>
      <w:tr>
        <w:tc>
          <w:tcPr>
            <w:tcW w:type="dxa" w:w="3285"/>
          </w:tcPr>
          <w:p w14:paraId="11000000">
            <w:pPr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Актуализация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экспортного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каталога </w:t>
            </w:r>
            <w:r>
              <w:rPr>
                <w:rFonts w:ascii="Times New Roman" w:hAnsi="Times New Roman"/>
                <w:sz w:val="24"/>
              </w:rPr>
              <w:t>«Камчатка онлайн»</w:t>
            </w:r>
            <w:r>
              <w:rPr>
                <w:rFonts w:ascii="Times New Roman" w:hAnsi="Times New Roman"/>
                <w:sz w:val="24"/>
              </w:rPr>
              <w:t xml:space="preserve"> с участием ТПП Камчатского края</w:t>
            </w:r>
          </w:p>
        </w:tc>
        <w:tc>
          <w:tcPr>
            <w:tcW w:type="dxa" w:w="6570"/>
            <w:vAlign w:val="center"/>
          </w:tcPr>
          <w:p w14:paraId="12000000">
            <w:pPr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субъекта (всего </w:t>
            </w:r>
            <w:r>
              <w:rPr>
                <w:rFonts w:ascii="Times New Roman" w:hAnsi="Times New Roman"/>
                <w:sz w:val="24"/>
              </w:rPr>
              <w:t xml:space="preserve">в каталоге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6 субъектов, в том числе 4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крупных)</w:t>
            </w:r>
          </w:p>
        </w:tc>
      </w:tr>
      <w:tr>
        <w:tc>
          <w:tcPr>
            <w:tcW w:type="dxa" w:w="3285"/>
          </w:tcPr>
          <w:p w14:paraId="13000000">
            <w:pPr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Презентаци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региональных новинок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товаров и услуг</w:t>
            </w:r>
          </w:p>
        </w:tc>
        <w:tc>
          <w:tcPr>
            <w:tcW w:type="dxa" w:w="6570"/>
            <w:vAlign w:val="center"/>
          </w:tcPr>
          <w:p w14:paraId="14000000">
            <w:pPr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презентации в рамках </w:t>
            </w:r>
            <w:r>
              <w:rPr>
                <w:rFonts w:ascii="Times New Roman" w:hAnsi="Times New Roman"/>
                <w:sz w:val="24"/>
              </w:rPr>
              <w:t>Рабоч</w:t>
            </w:r>
            <w:r>
              <w:rPr>
                <w:rFonts w:ascii="Times New Roman" w:hAnsi="Times New Roman"/>
                <w:sz w:val="24"/>
              </w:rPr>
              <w:t>ей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группы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улучшению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инвестклимата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направлению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«Экспорт»</w:t>
            </w:r>
          </w:p>
        </w:tc>
      </w:tr>
      <w:tr>
        <w:tc>
          <w:tcPr>
            <w:tcW w:type="dxa" w:w="3285"/>
          </w:tcPr>
          <w:p w14:paraId="15000000">
            <w:pPr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Региональные и окружные конкурсы для </w:t>
            </w:r>
            <w:r>
              <w:rPr>
                <w:rFonts w:ascii="Times New Roman" w:hAnsi="Times New Roman"/>
                <w:sz w:val="24"/>
              </w:rPr>
              <w:t>экспортеров</w:t>
            </w:r>
          </w:p>
        </w:tc>
        <w:tc>
          <w:tcPr>
            <w:tcW w:type="dxa" w:w="6570"/>
            <w:vAlign w:val="center"/>
          </w:tcPr>
          <w:p w14:paraId="16000000">
            <w:pPr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r>
              <w:rPr>
                <w:rFonts w:ascii="Times New Roman" w:hAnsi="Times New Roman"/>
                <w:sz w:val="24"/>
              </w:rPr>
              <w:t>тур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 xml:space="preserve">омпании </w:t>
            </w:r>
            <w:r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преми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«Золотой 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  <w:t>еркурий»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номинаци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«Лучшее предприятие экспортер в сфере услуг</w:t>
            </w:r>
            <w:r>
              <w:rPr>
                <w:rFonts w:ascii="Times New Roman" w:hAnsi="Times New Roman"/>
                <w:sz w:val="24"/>
              </w:rPr>
              <w:t>»);</w:t>
            </w:r>
          </w:p>
          <w:p w14:paraId="17000000">
            <w:pPr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компании </w:t>
            </w:r>
            <w:r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>в премии «Экспортер года» (различные номинации)</w:t>
            </w:r>
          </w:p>
        </w:tc>
      </w:tr>
      <w:tr>
        <w:tc>
          <w:tcPr>
            <w:tcW w:type="dxa" w:w="9855"/>
            <w:gridSpan w:val="2"/>
            <w:shd w:themeFill="accent5" w:themeFillTint="32" w:val="clear"/>
          </w:tcPr>
          <w:p w14:paraId="18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Налаживание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сотрудничества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с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зарубежными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партнерами</w:t>
            </w:r>
          </w:p>
        </w:tc>
      </w:tr>
      <w:tr>
        <w:tc>
          <w:tcPr>
            <w:tcW w:type="dxa" w:w="3285"/>
          </w:tcPr>
          <w:p w14:paraId="19000000">
            <w:pPr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Поиск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партнеров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дружественных </w:t>
            </w:r>
            <w:r>
              <w:rPr>
                <w:rFonts w:ascii="Times New Roman" w:hAnsi="Times New Roman"/>
                <w:sz w:val="24"/>
              </w:rPr>
              <w:t>государствах</w:t>
            </w:r>
          </w:p>
        </w:tc>
        <w:tc>
          <w:tcPr>
            <w:tcW w:type="dxa" w:w="6570"/>
            <w:vAlign w:val="center"/>
          </w:tcPr>
          <w:p w14:paraId="1A000000">
            <w:pPr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Поиск иностранных покупателей </w:t>
            </w:r>
            <w:r>
              <w:rPr>
                <w:rFonts w:ascii="Times New Roman" w:hAnsi="Times New Roman"/>
                <w:sz w:val="24"/>
              </w:rPr>
              <w:t>туруслуг</w:t>
            </w:r>
            <w:r>
              <w:rPr>
                <w:rFonts w:ascii="Times New Roman" w:hAnsi="Times New Roman"/>
                <w:sz w:val="24"/>
              </w:rPr>
              <w:t xml:space="preserve"> в КНР для 2 субъектов</w:t>
            </w:r>
          </w:p>
        </w:tc>
      </w:tr>
      <w:tr>
        <w:tc>
          <w:tcPr>
            <w:tcW w:type="dxa" w:w="3285"/>
          </w:tcPr>
          <w:p w14:paraId="1B000000">
            <w:pPr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проведение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бизнес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миссий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дружественные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страны</w:t>
            </w:r>
          </w:p>
        </w:tc>
        <w:tc>
          <w:tcPr>
            <w:tcW w:type="dxa" w:w="6570"/>
            <w:vAlign w:val="center"/>
          </w:tcPr>
          <w:p w14:paraId="1C000000">
            <w:pPr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бизнес-миссия в </w:t>
            </w:r>
            <w:r>
              <w:rPr>
                <w:rFonts w:ascii="Times New Roman" w:hAnsi="Times New Roman"/>
                <w:sz w:val="24"/>
              </w:rPr>
              <w:t xml:space="preserve">КНР, </w:t>
            </w:r>
            <w:r>
              <w:rPr>
                <w:rFonts w:ascii="Times New Roman" w:hAnsi="Times New Roman"/>
                <w:sz w:val="24"/>
              </w:rPr>
              <w:t>г. </w:t>
            </w:r>
            <w:r>
              <w:rPr>
                <w:rFonts w:ascii="Times New Roman" w:hAnsi="Times New Roman"/>
                <w:sz w:val="24"/>
              </w:rPr>
              <w:t>Фуюань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 xml:space="preserve">провинция Хэйлунцзян), </w:t>
            </w:r>
            <w:r>
              <w:rPr>
                <w:rFonts w:ascii="Times New Roman" w:hAnsi="Times New Roman"/>
                <w:sz w:val="24"/>
              </w:rPr>
              <w:t>в составе 6 субъектов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1–4 июля</w:t>
            </w:r>
          </w:p>
        </w:tc>
      </w:tr>
    </w:tbl>
    <w:p w14:paraId="1D000000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Важным направлением деятельности </w:t>
      </w:r>
      <w:r>
        <w:rPr>
          <w:rFonts w:ascii="Times New Roman" w:hAnsi="Times New Roman"/>
        </w:rPr>
        <w:t>Центра</w:t>
      </w:r>
      <w:r>
        <w:rPr>
          <w:rFonts w:ascii="Times New Roman" w:hAnsi="Times New Roman"/>
        </w:rPr>
        <w:t xml:space="preserve">, также способствующим достижению целей региональной программы, является обеспечение участия бизнеса в </w:t>
      </w:r>
      <w:r>
        <w:rPr>
          <w:rFonts w:ascii="Times New Roman" w:hAnsi="Times New Roman"/>
        </w:rPr>
        <w:t>мероприятиях</w:t>
      </w:r>
      <w:r>
        <w:rPr>
          <w:rFonts w:ascii="Times New Roman" w:hAnsi="Times New Roman"/>
        </w:rPr>
        <w:t xml:space="preserve">, направленных на повышение </w:t>
      </w:r>
      <w:r>
        <w:rPr>
          <w:rFonts w:ascii="Times New Roman" w:hAnsi="Times New Roman"/>
        </w:rPr>
        <w:t xml:space="preserve">узнаваемости российской продукции </w:t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доверия</w:t>
      </w:r>
      <w:r>
        <w:rPr>
          <w:rFonts w:ascii="Times New Roman" w:hAnsi="Times New Roman"/>
        </w:rPr>
        <w:t xml:space="preserve"> к ее высокому качеству на зарубежных рынках</w:t>
      </w:r>
      <w:r>
        <w:rPr>
          <w:rFonts w:ascii="Times New Roman" w:hAnsi="Times New Roman"/>
        </w:rPr>
        <w:t>.</w:t>
      </w:r>
    </w:p>
    <w:p w14:paraId="1E000000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Так, </w:t>
      </w:r>
      <w:r>
        <w:rPr>
          <w:rFonts w:ascii="Times New Roman" w:hAnsi="Times New Roman"/>
        </w:rPr>
        <w:t xml:space="preserve">Центр </w:t>
      </w:r>
      <w:r>
        <w:rPr>
          <w:rFonts w:ascii="Times New Roman" w:hAnsi="Times New Roman"/>
        </w:rPr>
        <w:t xml:space="preserve">обеспечивает участие бизнеса в ежегодных </w:t>
      </w:r>
      <w:r>
        <w:rPr>
          <w:rFonts w:ascii="Times New Roman" w:hAnsi="Times New Roman"/>
        </w:rPr>
        <w:t>конкурсах «</w:t>
      </w:r>
      <w:r>
        <w:rPr>
          <w:rFonts w:ascii="Times New Roman" w:hAnsi="Times New Roman"/>
        </w:rPr>
        <w:t>Всероссийская Марка (III</w:t>
      </w:r>
      <w:r>
        <w:rPr>
          <w:rFonts w:ascii="Times New Roman" w:hAnsi="Times New Roman"/>
        </w:rPr>
        <w:t xml:space="preserve"> тысяч</w:t>
      </w:r>
      <w:r>
        <w:rPr>
          <w:rFonts w:ascii="Times New Roman" w:hAnsi="Times New Roman"/>
        </w:rPr>
        <w:t>елетие). Знак качества XXI века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Конкурс проводится при поддержке федеральных органов власти, Торгово-промышленной палаты России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Всероссийской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организацией качества</w:t>
      </w:r>
      <w:r>
        <w:rPr>
          <w:rFonts w:ascii="Times New Roman" w:hAnsi="Times New Roman"/>
        </w:rPr>
        <w:t xml:space="preserve"> и направлен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том числе </w:t>
      </w:r>
      <w:r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продвижении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высококачественных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российских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товаров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услуг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зарубежный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рынки</w:t>
      </w:r>
      <w:r>
        <w:rPr>
          <w:rFonts w:ascii="Times New Roman" w:hAnsi="Times New Roman"/>
        </w:rPr>
        <w:t>.</w:t>
      </w:r>
    </w:p>
    <w:p w14:paraId="1F000000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завершившемся </w:t>
      </w:r>
      <w:r>
        <w:rPr>
          <w:rFonts w:ascii="Times New Roman" w:hAnsi="Times New Roman"/>
        </w:rPr>
        <w:t xml:space="preserve">в июне </w:t>
      </w:r>
      <w:r>
        <w:rPr>
          <w:rFonts w:ascii="Times New Roman" w:hAnsi="Times New Roman"/>
        </w:rPr>
        <w:t xml:space="preserve">53-м конкурсе «Знак качества XXI века» приняли участие 5 предпринимателей. Они претендуют на 12 </w:t>
      </w:r>
      <w:r>
        <w:rPr>
          <w:rFonts w:ascii="Times New Roman" w:hAnsi="Times New Roman"/>
        </w:rPr>
        <w:t xml:space="preserve">знаков качества (8 </w:t>
      </w:r>
      <w:r>
        <w:rPr>
          <w:rFonts w:ascii="Times New Roman" w:hAnsi="Times New Roman"/>
        </w:rPr>
        <w:t xml:space="preserve">платиновых и </w:t>
      </w:r>
      <w:r>
        <w:rPr>
          <w:rFonts w:ascii="Times New Roman" w:hAnsi="Times New Roman"/>
        </w:rPr>
        <w:t xml:space="preserve">4 </w:t>
      </w:r>
      <w:r>
        <w:rPr>
          <w:rFonts w:ascii="Times New Roman" w:hAnsi="Times New Roman"/>
        </w:rPr>
        <w:t xml:space="preserve">золотых). </w:t>
      </w:r>
      <w:r>
        <w:rPr>
          <w:rFonts w:ascii="Times New Roman" w:hAnsi="Times New Roman"/>
        </w:rPr>
        <w:t xml:space="preserve">Примечательно, что </w:t>
      </w:r>
      <w:r>
        <w:rPr>
          <w:rFonts w:ascii="Times New Roman" w:hAnsi="Times New Roman"/>
        </w:rPr>
        <w:t>в конкурс</w:t>
      </w:r>
      <w:r>
        <w:rPr>
          <w:rFonts w:ascii="Times New Roman" w:hAnsi="Times New Roman"/>
        </w:rPr>
        <w:t>ах</w:t>
      </w:r>
      <w:r>
        <w:rPr>
          <w:rFonts w:ascii="Times New Roman" w:hAnsi="Times New Roman"/>
        </w:rPr>
        <w:t xml:space="preserve"> принимают не только </w:t>
      </w:r>
      <w:r>
        <w:rPr>
          <w:rFonts w:ascii="Times New Roman" w:hAnsi="Times New Roman"/>
        </w:rPr>
        <w:t>большие</w:t>
      </w:r>
      <w:r>
        <w:rPr>
          <w:rFonts w:ascii="Times New Roman" w:hAnsi="Times New Roman"/>
        </w:rPr>
        <w:t xml:space="preserve"> предприятия региона (</w:t>
      </w:r>
      <w:r>
        <w:rPr>
          <w:rFonts w:ascii="Times New Roman" w:hAnsi="Times New Roman"/>
        </w:rPr>
        <w:t>«Тымлатский рыбокомбинат», «Устькамчатрыба», Рыболовецкий колхоз им. В. И. Ленина, «Кампиво»), но и малые</w:t>
      </w:r>
      <w:r>
        <w:rPr>
          <w:rFonts w:ascii="Times New Roman" w:hAnsi="Times New Roman"/>
        </w:rPr>
        <w:t xml:space="preserve"> туроператоры, отельеры, </w:t>
      </w:r>
      <w:r>
        <w:rPr>
          <w:rFonts w:ascii="Times New Roman" w:hAnsi="Times New Roman"/>
        </w:rPr>
        <w:t>индивидуальные предприниматели</w:t>
      </w:r>
      <w:r>
        <w:rPr>
          <w:rFonts w:ascii="Times New Roman" w:hAnsi="Times New Roman"/>
        </w:rPr>
        <w:t>.</w:t>
      </w:r>
    </w:p>
    <w:p w14:paraId="20000000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На сегодняшний день лауреатами конкурса являются 111 региональных предприятий и компаний, многие из них приняли участие в конкурсе благодаря Камчатскому выставочно-туристическому центру и Центру поддержки экспорта.</w:t>
      </w:r>
    </w:p>
    <w:p w14:paraId="21000000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Кроме того, </w:t>
      </w:r>
      <w:r>
        <w:rPr>
          <w:rFonts w:ascii="Times New Roman" w:hAnsi="Times New Roman"/>
        </w:rPr>
        <w:t xml:space="preserve">Центр </w:t>
      </w:r>
      <w:r>
        <w:rPr>
          <w:rFonts w:ascii="Times New Roman" w:hAnsi="Times New Roman"/>
        </w:rPr>
        <w:t xml:space="preserve">оказывает бизнесу содействие в прохождении процедур добровольного подтверждения соответствия «Сделано в России». «Сделано в России» – это добровольная сертификация от Российского экспортного центра, направленная на подтверждение повышенных характеристик </w:t>
      </w:r>
      <w:r>
        <w:rPr>
          <w:rFonts w:ascii="Times New Roman" w:hAnsi="Times New Roman"/>
        </w:rPr>
        <w:t>товаров и услуг</w:t>
      </w:r>
      <w:r>
        <w:rPr>
          <w:rFonts w:ascii="Times New Roman" w:hAnsi="Times New Roman"/>
        </w:rPr>
        <w:t xml:space="preserve"> по одному из 5 направлений: экологичность, органическое происхождение, надежность, уникальность и качество. </w:t>
      </w:r>
    </w:p>
    <w:p w14:paraId="22000000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 содействии Центра в системе сертификации </w:t>
      </w:r>
      <w:r>
        <w:rPr>
          <w:rFonts w:ascii="Times New Roman" w:hAnsi="Times New Roman"/>
        </w:rPr>
        <w:t xml:space="preserve">в 2025 г. </w:t>
      </w:r>
      <w:r>
        <w:rPr>
          <w:rFonts w:ascii="Times New Roman" w:hAnsi="Times New Roman"/>
        </w:rPr>
        <w:t>участвуют</w:t>
      </w:r>
      <w:r>
        <w:rPr>
          <w:rFonts w:ascii="Times New Roman" w:hAnsi="Times New Roman"/>
        </w:rPr>
        <w:t xml:space="preserve"> 8 компаний. </w:t>
      </w:r>
      <w:r>
        <w:rPr>
          <w:rFonts w:ascii="Times New Roman" w:hAnsi="Times New Roman"/>
        </w:rPr>
        <w:t>Сертификат «Сделано в России» предоставляет преференции при получении поддержки от Российского экспортного центра</w:t>
      </w:r>
      <w:r>
        <w:rPr>
          <w:rFonts w:ascii="Times New Roman" w:hAnsi="Times New Roman"/>
        </w:rPr>
        <w:t>, открывает в</w:t>
      </w:r>
      <w:r>
        <w:rPr>
          <w:rFonts w:ascii="Times New Roman" w:hAnsi="Times New Roman"/>
        </w:rPr>
        <w:t xml:space="preserve">озможности </w:t>
      </w:r>
      <w:r>
        <w:rPr>
          <w:rFonts w:ascii="Times New Roman" w:hAnsi="Times New Roman"/>
        </w:rPr>
        <w:t>участия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рекламно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информационных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кампаниях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продвижения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продукции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приоритетных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зарубежных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рынках</w:t>
      </w:r>
      <w:r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предлагает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приоритетное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размещение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продвижение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национальных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магазинах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международных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электронных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торговых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площадках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  <w:t xml:space="preserve"> дает </w:t>
      </w:r>
      <w:r>
        <w:rPr>
          <w:rFonts w:ascii="Times New Roman" w:hAnsi="Times New Roman"/>
        </w:rPr>
        <w:t>дополнительные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баллы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отборе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павильоны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АПК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Вьетнаме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Китае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Турции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Египте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Саудовской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Аравии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ОАЭ</w:t>
      </w:r>
      <w:r>
        <w:rPr>
          <w:rFonts w:ascii="Times New Roman" w:hAnsi="Times New Roman"/>
        </w:rPr>
        <w:t>.</w:t>
      </w:r>
    </w:p>
    <w:p w14:paraId="23000000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феврале 2025 </w:t>
      </w:r>
      <w:r>
        <w:rPr>
          <w:rFonts w:ascii="Times New Roman" w:hAnsi="Times New Roman"/>
        </w:rPr>
        <w:t xml:space="preserve">г. </w:t>
      </w:r>
      <w:r>
        <w:rPr>
          <w:rFonts w:ascii="Times New Roman" w:hAnsi="Times New Roman"/>
        </w:rPr>
        <w:t xml:space="preserve">председатель Правительства </w:t>
      </w:r>
      <w:r>
        <w:rPr>
          <w:rFonts w:ascii="Times New Roman" w:hAnsi="Times New Roman"/>
        </w:rPr>
        <w:t xml:space="preserve">Российской Федерации </w:t>
      </w:r>
      <w:r>
        <w:rPr>
          <w:rFonts w:ascii="Times New Roman" w:hAnsi="Times New Roman"/>
        </w:rPr>
        <w:t xml:space="preserve">Михаил </w:t>
      </w:r>
      <w:r>
        <w:rPr>
          <w:rFonts w:ascii="Times New Roman" w:hAnsi="Times New Roman"/>
        </w:rPr>
        <w:t>Мишустин</w:t>
      </w:r>
      <w:r>
        <w:rPr>
          <w:rFonts w:ascii="Times New Roman" w:hAnsi="Times New Roman"/>
        </w:rPr>
        <w:t xml:space="preserve"> утвердил </w:t>
      </w:r>
      <w:r>
        <w:t xml:space="preserve">Программу по продвижению российской продукции за рубежом под национальным брендом </w:t>
      </w:r>
      <w:r>
        <w:t>«</w:t>
      </w:r>
      <w:r>
        <w:t>Сделано в России</w:t>
      </w:r>
      <w:r>
        <w:t>»</w:t>
      </w:r>
      <w:r>
        <w:t xml:space="preserve"> на период до 2030</w:t>
      </w:r>
      <w:r>
        <w:t> </w:t>
      </w:r>
      <w:r>
        <w:t xml:space="preserve">г. Эта мера, как предполагается, поможет </w:t>
      </w:r>
      <w:r>
        <w:t>обеспечить</w:t>
      </w:r>
      <w:r>
        <w:t xml:space="preserve"> </w:t>
      </w:r>
      <w:r>
        <w:t>прирост</w:t>
      </w:r>
      <w:r>
        <w:t xml:space="preserve"> </w:t>
      </w:r>
      <w:r>
        <w:t>объёма</w:t>
      </w:r>
      <w:r>
        <w:t xml:space="preserve"> </w:t>
      </w:r>
      <w:r>
        <w:t>экспорта</w:t>
      </w:r>
      <w:r>
        <w:t xml:space="preserve"> </w:t>
      </w:r>
      <w:r>
        <w:t>несырьевых</w:t>
      </w:r>
      <w:r>
        <w:t xml:space="preserve"> </w:t>
      </w:r>
      <w:r>
        <w:t>неэнергетических</w:t>
      </w:r>
      <w:r>
        <w:t xml:space="preserve"> </w:t>
      </w:r>
      <w:r>
        <w:t>товаров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</w:t>
      </w:r>
      <w:r>
        <w:t>на</w:t>
      </w:r>
      <w:r>
        <w:t xml:space="preserve"> </w:t>
      </w:r>
      <w:r>
        <w:t>две</w:t>
      </w:r>
      <w:r>
        <w:t xml:space="preserve"> </w:t>
      </w:r>
      <w:r>
        <w:t>трети</w:t>
      </w:r>
      <w:r>
        <w:t xml:space="preserve"> </w:t>
      </w:r>
      <w:r>
        <w:t>по</w:t>
      </w:r>
      <w:r>
        <w:t xml:space="preserve"> </w:t>
      </w:r>
      <w:r>
        <w:t>сравнению</w:t>
      </w:r>
      <w:r>
        <w:t xml:space="preserve"> </w:t>
      </w:r>
      <w:r>
        <w:t>с</w:t>
      </w:r>
      <w:r>
        <w:t xml:space="preserve"> </w:t>
      </w:r>
      <w:r>
        <w:t>показателем</w:t>
      </w:r>
      <w:r>
        <w:t xml:space="preserve"> 2023</w:t>
      </w:r>
      <w:r>
        <w:t> г.</w:t>
      </w:r>
      <w:r>
        <w:t xml:space="preserve"> </w:t>
      </w:r>
      <w:r>
        <w:t xml:space="preserve">и </w:t>
      </w:r>
      <w:r>
        <w:t>добиться</w:t>
      </w:r>
      <w:r>
        <w:t xml:space="preserve"> </w:t>
      </w:r>
      <w:r>
        <w:t>увеличения</w:t>
      </w:r>
      <w:r>
        <w:t xml:space="preserve"> </w:t>
      </w:r>
      <w:r>
        <w:t>экспорта</w:t>
      </w:r>
      <w:r>
        <w:t xml:space="preserve"> </w:t>
      </w:r>
      <w:r>
        <w:t>АПК</w:t>
      </w:r>
      <w:r>
        <w:t>.</w:t>
      </w:r>
    </w:p>
    <w:p w14:paraId="24000000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этой связи </w:t>
      </w:r>
      <w:r>
        <w:rPr>
          <w:rFonts w:ascii="Times New Roman" w:hAnsi="Times New Roman"/>
        </w:rPr>
        <w:t xml:space="preserve">предлагаю поручить </w:t>
      </w:r>
      <w:r>
        <w:rPr>
          <w:rFonts w:ascii="Times New Roman" w:hAnsi="Times New Roman"/>
        </w:rPr>
        <w:t xml:space="preserve">Центру поддержки экспорта продолжить информации совместно с Минсельхозом </w:t>
      </w:r>
      <w:r>
        <w:rPr>
          <w:rFonts w:ascii="Times New Roman" w:hAnsi="Times New Roman"/>
        </w:rPr>
        <w:t>и Минрыбхоз</w:t>
      </w:r>
      <w:r>
        <w:rPr>
          <w:rFonts w:ascii="Times New Roman" w:hAnsi="Times New Roman"/>
        </w:rPr>
        <w:t xml:space="preserve">ом </w:t>
      </w:r>
      <w:r>
        <w:rPr>
          <w:rFonts w:ascii="Times New Roman" w:hAnsi="Times New Roman"/>
        </w:rPr>
        <w:t xml:space="preserve">Камчатского края </w:t>
      </w:r>
      <w:r>
        <w:rPr>
          <w:rFonts w:ascii="Times New Roman" w:hAnsi="Times New Roman"/>
        </w:rPr>
        <w:t>провести информационную кампанию по популяризации системы добровольного подтверждения соответствия «Сделано в России» среди заинтересованных предприятий – производителей продукции АПК.</w:t>
      </w:r>
    </w:p>
    <w:p w14:paraId="25000000">
      <w:pPr>
        <w:ind w:firstLine="567"/>
        <w:rPr>
          <w:rFonts w:ascii="Times New Roman" w:hAnsi="Times New Roman"/>
          <w:shd w:fill="FFD821" w:val="clear"/>
        </w:rPr>
      </w:pPr>
      <w:r>
        <w:rPr>
          <w:rFonts w:ascii="Times New Roman" w:hAnsi="Times New Roman"/>
        </w:rPr>
        <w:t>Благодарю за внимание, готов ответить на ваши вопросы.</w:t>
      </w:r>
      <w:bookmarkStart w:id="1" w:name="_GoBack"/>
      <w:bookmarkEnd w:id="1"/>
    </w:p>
    <w:sectPr>
      <w:pgSz w:h="16838" w:orient="portrait" w:w="11906"/>
      <w:pgMar w:bottom="1134" w:footer="720" w:gutter="0" w:header="720" w:left="1304" w:right="73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ind/>
      <w:jc w:val="both"/>
    </w:pPr>
    <w:rPr>
      <w:sz w:val="28"/>
    </w:rPr>
  </w:style>
  <w:style w:default="1" w:styleId="Style_3_ch" w:type="character">
    <w:name w:val="Normal"/>
    <w:link w:val="Style_3"/>
    <w:rPr>
      <w:sz w:val="28"/>
    </w:rPr>
  </w:style>
  <w:style w:styleId="Style_4" w:type="paragraph">
    <w:name w:val="toc 2"/>
    <w:next w:val="Style_3"/>
    <w:link w:val="Style_4_ch"/>
    <w:uiPriority w:val="39"/>
    <w:pPr>
      <w:ind w:left="200"/>
    </w:pPr>
    <w:rPr>
      <w:sz w:val="28"/>
    </w:rPr>
  </w:style>
  <w:style w:styleId="Style_4_ch" w:type="character">
    <w:name w:val="toc 2"/>
    <w:link w:val="Style_4"/>
    <w:rPr>
      <w:sz w:val="28"/>
    </w:rPr>
  </w:style>
  <w:style w:styleId="Style_5" w:type="paragraph">
    <w:name w:val="toc 4"/>
    <w:next w:val="Style_3"/>
    <w:link w:val="Style_5_ch"/>
    <w:uiPriority w:val="39"/>
    <w:pPr>
      <w:ind w:left="600"/>
    </w:pPr>
    <w:rPr>
      <w:sz w:val="28"/>
    </w:rPr>
  </w:style>
  <w:style w:styleId="Style_5_ch" w:type="character">
    <w:name w:val="toc 4"/>
    <w:link w:val="Style_5"/>
    <w:rPr>
      <w:sz w:val="28"/>
    </w:rPr>
  </w:style>
  <w:style w:styleId="Style_6" w:type="paragraph">
    <w:name w:val="toc 6"/>
    <w:next w:val="Style_3"/>
    <w:link w:val="Style_6_ch"/>
    <w:uiPriority w:val="39"/>
    <w:pPr>
      <w:ind w:left="1000"/>
    </w:pPr>
    <w:rPr>
      <w:sz w:val="28"/>
    </w:rPr>
  </w:style>
  <w:style w:styleId="Style_6_ch" w:type="character">
    <w:name w:val="toc 6"/>
    <w:link w:val="Style_6"/>
    <w:rPr>
      <w:sz w:val="28"/>
    </w:rPr>
  </w:style>
  <w:style w:styleId="Style_7" w:type="paragraph">
    <w:name w:val="toc 7"/>
    <w:next w:val="Style_3"/>
    <w:link w:val="Style_7_ch"/>
    <w:uiPriority w:val="39"/>
    <w:pPr>
      <w:ind w:left="1200"/>
    </w:pPr>
    <w:rPr>
      <w:sz w:val="28"/>
    </w:rPr>
  </w:style>
  <w:style w:styleId="Style_7_ch" w:type="character">
    <w:name w:val="toc 7"/>
    <w:link w:val="Style_7"/>
    <w:rPr>
      <w:sz w:val="28"/>
    </w:rPr>
  </w:style>
  <w:style w:styleId="Style_8" w:type="paragraph">
    <w:name w:val="Endnote"/>
    <w:link w:val="Style_8_ch"/>
    <w:pPr>
      <w:ind w:firstLine="851"/>
      <w:jc w:val="both"/>
    </w:pPr>
    <w:rPr>
      <w:sz w:val="22"/>
    </w:rPr>
  </w:style>
  <w:style w:styleId="Style_8_ch" w:type="character">
    <w:name w:val="Endnote"/>
    <w:link w:val="Style_8"/>
    <w:rPr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9_ch" w:type="character">
    <w:name w:val="heading 3"/>
    <w:link w:val="Style_9"/>
    <w:rPr>
      <w:b w:val="1"/>
      <w:sz w:val="26"/>
    </w:rPr>
  </w:style>
  <w:style w:styleId="Style_10" w:type="paragraph">
    <w:name w:val="toc 3"/>
    <w:next w:val="Style_3"/>
    <w:link w:val="Style_10_ch"/>
    <w:uiPriority w:val="39"/>
    <w:pPr>
      <w:ind w:left="400"/>
    </w:pPr>
    <w:rPr>
      <w:sz w:val="28"/>
    </w:rPr>
  </w:style>
  <w:style w:styleId="Style_10_ch" w:type="character">
    <w:name w:val="toc 3"/>
    <w:link w:val="Style_10"/>
    <w:rPr>
      <w:sz w:val="28"/>
    </w:rPr>
  </w:style>
  <w:style w:styleId="Style_1" w:type="paragraph">
    <w:name w:val="Обычный1"/>
    <w:link w:val="Style_1_ch"/>
    <w:rPr>
      <w:rFonts w:ascii="XO Thames" w:hAnsi="XO Thames"/>
      <w:sz w:val="28"/>
    </w:rPr>
  </w:style>
  <w:style w:styleId="Style_1_ch" w:type="character">
    <w:name w:val="Обычный1"/>
    <w:link w:val="Style_1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11_ch" w:type="character">
    <w:name w:val="heading 5"/>
    <w:link w:val="Style_11"/>
    <w:rPr>
      <w:b w:val="1"/>
      <w:sz w:val="2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13_ch" w:type="character">
    <w:name w:val="heading 1"/>
    <w:link w:val="Style_13"/>
    <w:rPr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/>
      <w:jc w:val="both"/>
    </w:pPr>
    <w:rPr>
      <w:sz w:val="22"/>
    </w:rPr>
  </w:style>
  <w:style w:styleId="Style_15_ch" w:type="character">
    <w:name w:val="Footnote"/>
    <w:link w:val="Style_15"/>
    <w:rPr>
      <w:sz w:val="22"/>
    </w:rPr>
  </w:style>
  <w:style w:styleId="Style_16" w:type="paragraph">
    <w:name w:val="toc 1"/>
    <w:next w:val="Style_3"/>
    <w:link w:val="Style_16_ch"/>
    <w:uiPriority w:val="39"/>
    <w:rPr>
      <w:b w:val="1"/>
      <w:sz w:val="28"/>
    </w:rPr>
  </w:style>
  <w:style w:styleId="Style_16_ch" w:type="character">
    <w:name w:val="toc 1"/>
    <w:link w:val="Style_16"/>
    <w:rPr>
      <w:b w:val="1"/>
      <w:sz w:val="28"/>
    </w:rPr>
  </w:style>
  <w:style w:styleId="Style_17" w:type="paragraph">
    <w:name w:val="Header and Footer"/>
    <w:link w:val="Style_17_ch"/>
    <w:pPr>
      <w:ind/>
      <w:jc w:val="both"/>
    </w:pPr>
    <w:rPr>
      <w:sz w:val="28"/>
    </w:rPr>
  </w:style>
  <w:style w:styleId="Style_17_ch" w:type="character">
    <w:name w:val="Header and Footer"/>
    <w:link w:val="Style_17"/>
    <w:rPr>
      <w:sz w:val="28"/>
    </w:rPr>
  </w:style>
  <w:style w:styleId="Style_18" w:type="paragraph">
    <w:name w:val="toc 9"/>
    <w:next w:val="Style_3"/>
    <w:link w:val="Style_18_ch"/>
    <w:uiPriority w:val="39"/>
    <w:pPr>
      <w:ind w:left="1600"/>
    </w:pPr>
    <w:rPr>
      <w:sz w:val="28"/>
    </w:rPr>
  </w:style>
  <w:style w:styleId="Style_18_ch" w:type="character">
    <w:name w:val="toc 9"/>
    <w:link w:val="Style_18"/>
    <w:rPr>
      <w:sz w:val="28"/>
    </w:rPr>
  </w:style>
  <w:style w:styleId="Style_19" w:type="paragraph">
    <w:name w:val="toc 8"/>
    <w:next w:val="Style_3"/>
    <w:link w:val="Style_19_ch"/>
    <w:uiPriority w:val="39"/>
    <w:pPr>
      <w:ind w:left="1400"/>
    </w:pPr>
    <w:rPr>
      <w:sz w:val="28"/>
    </w:rPr>
  </w:style>
  <w:style w:styleId="Style_19_ch" w:type="character">
    <w:name w:val="toc 8"/>
    <w:link w:val="Style_19"/>
    <w:rPr>
      <w:sz w:val="28"/>
    </w:rPr>
  </w:style>
  <w:style w:styleId="Style_20" w:type="paragraph">
    <w:name w:val="toc 5"/>
    <w:next w:val="Style_3"/>
    <w:link w:val="Style_20_ch"/>
    <w:uiPriority w:val="39"/>
    <w:pPr>
      <w:ind w:left="800"/>
    </w:pPr>
    <w:rPr>
      <w:sz w:val="28"/>
    </w:rPr>
  </w:style>
  <w:style w:styleId="Style_20_ch" w:type="character">
    <w:name w:val="toc 5"/>
    <w:link w:val="Style_20"/>
    <w:rPr>
      <w:sz w:val="28"/>
    </w:rPr>
  </w:style>
  <w:style w:styleId="Style_21" w:type="paragraph">
    <w:name w:val="Гиперссылка1"/>
    <w:link w:val="Style_21_ch"/>
    <w:rPr>
      <w:color w:val="0000FF"/>
      <w:u w:val="single"/>
    </w:rPr>
  </w:style>
  <w:style w:styleId="Style_21_ch" w:type="character">
    <w:name w:val="Гиперссылка1"/>
    <w:link w:val="Style_21"/>
    <w:rPr>
      <w:color w:val="0000FF"/>
      <w:u w:val="single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i w:val="1"/>
    </w:rPr>
  </w:style>
  <w:style w:styleId="Style_22_ch" w:type="character">
    <w:name w:val="Subtitle"/>
    <w:link w:val="Style_22"/>
    <w:rPr>
      <w:i w:val="1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23_ch" w:type="character">
    <w:name w:val="Title"/>
    <w:link w:val="Style_23"/>
    <w:rPr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24_ch" w:type="character">
    <w:name w:val="heading 4"/>
    <w:link w:val="Style_24"/>
    <w:rPr>
      <w:b w:val="1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25_ch" w:type="character">
    <w:name w:val="heading 2"/>
    <w:link w:val="Style_25"/>
    <w:rPr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2025-06-10T01:25:37Z</dcterms:modified>
</cp:coreProperties>
</file>