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1"/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П А С П О Р Т</w:t>
      </w:r>
    </w:p>
    <w:p w14:paraId="0D000000">
      <w:pPr>
        <w:pStyle w:val="Style_1"/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Региональной программы развития экспорта</w:t>
      </w:r>
      <w:r>
        <w:rPr>
          <w:rStyle w:val="Style_3_ch"/>
          <w:rFonts w:ascii="Arial" w:hAnsi="Arial"/>
          <w:color w:val="568ED4"/>
        </w:rPr>
        <w:br/>
      </w:r>
      <w:r>
        <w:rPr>
          <w:rStyle w:val="Style_3_ch"/>
          <w:rFonts w:ascii="Arial" w:hAnsi="Arial"/>
          <w:color w:val="568ED4"/>
        </w:rPr>
        <w:t>Камчатского края</w:t>
      </w:r>
      <w:r>
        <w:rPr>
          <w:rStyle w:val="Style_3_ch"/>
          <w:rFonts w:ascii="Arial" w:hAnsi="Arial"/>
          <w:color w:val="568ED4"/>
        </w:rPr>
        <w:br/>
      </w:r>
    </w:p>
    <w:p w14:paraId="0E000000">
      <w:pPr>
        <w:pStyle w:val="Style_1"/>
        <w:ind w:firstLine="0" w:left="567" w:right="0"/>
        <w:rPr>
          <w:rFonts w:ascii="Arial" w:hAnsi="Arial"/>
        </w:rPr>
      </w:pPr>
      <w:r>
        <w:rPr>
          <w:rStyle w:val="Style_3_ch"/>
          <w:rFonts w:ascii="Arial" w:hAnsi="Arial"/>
          <w:color w:val="568ED4"/>
        </w:rPr>
        <w:t>1.</w:t>
      </w:r>
      <w:r>
        <w:rPr>
          <w:rFonts w:ascii="Arial" w:hAnsi="Arial"/>
          <w:b w:val="1"/>
          <w:color w:val="568ED4"/>
          <w:spacing w:val="0"/>
          <w:sz w:val="32"/>
        </w:rPr>
        <w:t> </w:t>
      </w:r>
      <w:r>
        <w:rPr>
          <w:rStyle w:val="Style_3_ch"/>
          <w:rFonts w:ascii="Arial" w:hAnsi="Arial"/>
          <w:color w:val="568ED4"/>
        </w:rPr>
        <w:t>ОСНОВНЫЙ ПОЛОЖЕНИЯ</w:t>
      </w:r>
    </w:p>
    <w:p w14:paraId="0F000000">
      <w:pPr>
        <w:pStyle w:val="Style_1"/>
        <w:ind w:hanging="567" w:left="567" w:right="0"/>
        <w:rPr>
          <w:rFonts w:ascii="Arial" w:hAnsi="Arial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47"/>
        <w:gridCol w:w="10312"/>
      </w:tblGrid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Наименование программы</w:t>
            </w:r>
          </w:p>
        </w:tc>
        <w:tc>
          <w:tcPr>
            <w:tcW w:type="dxa" w:w="10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Региональная программа развития экспорта и международных связей Камчатского края до 2030 года и на перспективу до 2036 года 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Краткое наименование программы (при наличии)</w:t>
            </w:r>
          </w:p>
        </w:tc>
        <w:tc>
          <w:tcPr>
            <w:tcW w:type="dxa" w:w="10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Развитие экспорта и международных связей Камчатского края до 2030 года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Срок начала и окончания программы</w:t>
            </w:r>
          </w:p>
        </w:tc>
        <w:tc>
          <w:tcPr>
            <w:tcW w:type="dxa" w:w="10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01.01.2025 - 31.12.2030</w:t>
            </w:r>
          </w:p>
        </w:tc>
      </w:tr>
      <w:t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РОИВ-координатор программы</w:t>
            </w:r>
          </w:p>
        </w:tc>
        <w:tc>
          <w:tcPr>
            <w:tcW w:type="dxa" w:w="10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903"/>
        </w:trPr>
        <w:tc>
          <w:tcPr>
            <w:tcW w:type="dxa" w:w="4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left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0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Стратегия социально-экономического развития Камчатского края до 2035 года, утвержденная постановлением Правительства Камчатского края от 30.10.2023 № 541-П;</w:t>
            </w:r>
          </w:p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 Государственная программа Камчатского края «Развитие рыбохозяйственного комплекса Камчатского края», утвержденная постановлением Правительства Камчатского края от 28.12.2023 № 706-П.</w:t>
            </w:r>
          </w:p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Финансирование мероприятий будет осуществляться за счет средств Государственных программ Камчатского края:</w:t>
            </w:r>
          </w:p>
          <w:p w14:paraId="1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      </w:r>
          </w:p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</w:t>
            </w:r>
            <w:r>
              <w:rPr>
                <w:rFonts w:ascii="Arial" w:hAnsi="Arial"/>
                <w:sz w:val="20"/>
              </w:rPr>
              <w:t>.</w:t>
            </w:r>
          </w:p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Кроме того, мероприятия будут реализовываться в рамках:</w:t>
            </w:r>
          </w:p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 регионального проекта Камчатского края «Системные меры развития международной кооперации и экспорта в Камчатском крае» федерального проекта «Системные меры международной кооперации и экспорта» национального проекта «Международная кооперация и экспорт»;</w:t>
            </w:r>
          </w:p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 регионального проекта Камчатского края «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Экспорт продукции 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АПК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»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 федерального проекта «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Экспорт продукции 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АПК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»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 национального проекта «Международная кооперация и экспорт»;</w:t>
            </w:r>
          </w:p>
          <w:p w14:paraId="2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 регионального проекта «Создание номерного фонда, инфраструктуры и новых точек притяжения (Камчатский край)» федерального проекта «Создание номерного фонда, инфраструктуры и новых точек притяжения» национального проекта «Туризм и гостеприимство»</w:t>
            </w:r>
            <w:r>
              <w:rPr>
                <w:rFonts w:ascii="Arial" w:hAnsi="Arial"/>
                <w:sz w:val="20"/>
              </w:rPr>
              <w:t>.</w:t>
            </w:r>
          </w:p>
        </w:tc>
      </w:tr>
    </w:tbl>
    <w:p w14:paraId="22000000">
      <w:pPr>
        <w:sectPr>
          <w:headerReference r:id="rId1" w:type="default"/>
          <w:headerReference r:id="rId6" w:type="first"/>
          <w:headerReference r:id="rId2" w:type="even"/>
          <w:type w:val="nextPage"/>
          <w:pgSz w:h="11906" w:orient="landscape" w:w="16838"/>
          <w:pgMar w:bottom="709" w:footer="0" w:gutter="0" w:header="454" w:left="1134" w:right="1134" w:top="1134"/>
          <w:pgNumType w:fmt="decimal" w:start="1"/>
          <w:titlePg/>
        </w:sectPr>
      </w:pPr>
    </w:p>
    <w:p w14:paraId="23000000">
      <w:pPr>
        <w:pStyle w:val="Style_1"/>
        <w:ind w:firstLine="0" w:left="567" w:right="0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2.</w:t>
      </w:r>
      <w:r>
        <w:rPr>
          <w:rFonts w:ascii="Arial" w:hAnsi="Arial"/>
          <w:b w:val="1"/>
          <w:color w:val="568ED4"/>
          <w:spacing w:val="0"/>
          <w:sz w:val="32"/>
        </w:rPr>
        <w:t> </w:t>
      </w:r>
      <w:r>
        <w:rPr>
          <w:rStyle w:val="Style_3_ch"/>
          <w:rFonts w:ascii="Arial" w:hAnsi="Arial"/>
          <w:color w:val="568ED4"/>
        </w:rPr>
        <w:t>В</w:t>
      </w:r>
      <w:r>
        <w:rPr>
          <w:rStyle w:val="Style_3_ch"/>
          <w:rFonts w:ascii="Arial" w:hAnsi="Arial"/>
          <w:caps w:val="1"/>
          <w:color w:val="568ED4"/>
        </w:rPr>
        <w:t>ызовы и задачи развития экспорта</w:t>
      </w:r>
    </w:p>
    <w:p w14:paraId="24000000">
      <w:pPr>
        <w:pStyle w:val="Style_1"/>
        <w:ind w:hanging="567" w:left="567" w:right="0"/>
        <w:rPr>
          <w:rFonts w:ascii="Arial" w:hAnsi="Arial"/>
          <w:color w:val="568ED4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4"/>
        <w:gridCol w:w="5785"/>
        <w:gridCol w:w="8275"/>
      </w:tblGrid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№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Формулировка вызова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Задачи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1"/>
              <w:widowControl w:val="1"/>
              <w:spacing w:after="60" w:before="120" w:line="240" w:lineRule="auto"/>
              <w:ind w:firstLine="0" w:left="0" w:right="0"/>
              <w:jc w:val="center"/>
              <w:rPr>
                <w:rFonts w:ascii="Arial" w:hAnsi="Arial"/>
                <w:b w:val="0"/>
                <w:color w:val="000000"/>
                <w:sz w:val="20"/>
              </w:rPr>
            </w:pPr>
            <w:r>
              <w:rPr>
                <w:rFonts w:ascii="Arial" w:hAnsi="Arial"/>
                <w:b w:val="0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Низкая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конкурентоспособност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ь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производимого продукта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, обусловленная в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ысок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ой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себестоимость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ю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производства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товаров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и услуг, вследствие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дорогой логистик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и и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высок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их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>тарифов на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 энергоресурс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</w:rPr>
              <w:t xml:space="preserve">ы 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Предоставление мер государственной поддержки экспортерам и экспортно ориентированным предприятиям Камчатского края, комплексное развитие инфраструктуры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мероприятий, направленных на укрепление сотрудничества с дружественными странами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</w:pP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  <w:u w:color="000000" w:val="none"/>
              </w:rPr>
              <w:t>Недостато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  <w:u w:color="000000" w:val="none"/>
              </w:rPr>
              <w:t>чный объем и ассортимент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 конкурентоспособного продукта, </w:t>
            </w:r>
            <w:r>
              <w:rPr>
                <w:rStyle w:val="Style_1_ch"/>
                <w:rFonts w:ascii="Arial" w:hAnsi="Arial"/>
                <w:color w:val="000000"/>
                <w:spacing w:val="0"/>
                <w:sz w:val="20"/>
                <w:u w:color="000000" w:val="none"/>
              </w:rPr>
              <w:t>который может поставляться на экспорт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Продвижение товаров АПК с учетом акцентирования его экологических, уникальных, натуральных свойств</w:t>
            </w:r>
          </w:p>
        </w:tc>
      </w:tr>
      <w:tr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5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Недостаток использования туристического потенциала Камчатского края, низкая доля иностранных туристов </w:t>
            </w:r>
            <w:r>
              <w:rPr>
                <w:rFonts w:ascii="Arial" w:hAnsi="Arial"/>
                <w:sz w:val="20"/>
              </w:rPr>
              <w:t>в общем турпотоке</w:t>
            </w:r>
          </w:p>
        </w:tc>
        <w:tc>
          <w:tcPr>
            <w:tcW w:type="dxa" w:w="8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Продвижение туристического потенциала Камчатского края в зарубежных странах</w:t>
            </w:r>
          </w:p>
        </w:tc>
      </w:tr>
    </w:tbl>
    <w:p w14:paraId="34000000">
      <w:pPr>
        <w:pStyle w:val="Style_1"/>
        <w:keepNext w:val="1"/>
        <w:spacing w:after="60" w:before="60"/>
        <w:ind/>
        <w:rPr>
          <w:rFonts w:ascii="Arial" w:hAnsi="Arial"/>
          <w:i w:val="1"/>
          <w:sz w:val="12"/>
        </w:rPr>
      </w:pPr>
    </w:p>
    <w:p w14:paraId="35000000">
      <w:pPr>
        <w:pStyle w:val="Style_1"/>
        <w:keepNext w:val="1"/>
        <w:spacing w:after="60" w:before="60"/>
        <w:ind/>
        <w:rPr>
          <w:rFonts w:ascii="Arial" w:hAnsi="Arial"/>
          <w:i w:val="1"/>
          <w:sz w:val="14"/>
        </w:rPr>
      </w:pPr>
    </w:p>
    <w:p w14:paraId="36000000">
      <w:pPr>
        <w:pStyle w:val="Style_1"/>
        <w:keepNext w:val="1"/>
        <w:spacing w:after="60" w:before="60"/>
        <w:ind/>
        <w:rPr>
          <w:rFonts w:ascii="Arial" w:hAnsi="Arial"/>
          <w:i w:val="1"/>
          <w:sz w:val="14"/>
        </w:rPr>
      </w:pPr>
    </w:p>
    <w:p w14:paraId="37000000">
      <w:pPr>
        <w:pStyle w:val="Style_1"/>
        <w:ind w:firstLine="0" w:left="567" w:right="0"/>
        <w:rPr>
          <w:rFonts w:ascii="Arial" w:hAnsi="Arial"/>
          <w:caps w:val="1"/>
          <w:color w:val="568ED4"/>
        </w:rPr>
      </w:pPr>
      <w:bookmarkStart w:id="1" w:name="_Hlk76490587"/>
      <w:r>
        <w:rPr>
          <w:rStyle w:val="Style_3_ch"/>
          <w:rFonts w:ascii="Arial" w:hAnsi="Arial"/>
          <w:caps w:val="1"/>
          <w:color w:val="568ED4"/>
        </w:rPr>
        <w:t>3.</w:t>
      </w:r>
      <w:r>
        <w:rPr>
          <w:rFonts w:ascii="Arial" w:hAnsi="Arial"/>
          <w:b w:val="1"/>
          <w:caps w:val="1"/>
          <w:color w:val="568ED4"/>
          <w:spacing w:val="0"/>
          <w:sz w:val="32"/>
        </w:rPr>
        <w:t> </w:t>
      </w:r>
      <w:r>
        <w:rPr>
          <w:rStyle w:val="Style_3_ch"/>
          <w:rFonts w:ascii="Arial" w:hAnsi="Arial"/>
          <w:caps w:val="1"/>
          <w:color w:val="568ED4"/>
        </w:rPr>
        <w:t>Цель и показатели региональной программы развития экспорта</w:t>
      </w:r>
      <w:bookmarkEnd w:id="1"/>
    </w:p>
    <w:p w14:paraId="38000000">
      <w:pPr>
        <w:pStyle w:val="Style_1"/>
        <w:ind w:firstLine="425"/>
        <w:rPr>
          <w:rFonts w:ascii="Arial" w:hAnsi="Arial"/>
          <w:b w:val="1"/>
          <w:color w:themeColor="text2" w:val="006BB6"/>
          <w:sz w:val="28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5"/>
        <w:gridCol w:w="5662"/>
        <w:gridCol w:w="1669"/>
        <w:gridCol w:w="1508"/>
        <w:gridCol w:w="1033"/>
        <w:gridCol w:w="1025"/>
        <w:gridCol w:w="1091"/>
        <w:gridCol w:w="1067"/>
        <w:gridCol w:w="996"/>
      </w:tblGrid>
      <w:tr>
        <w:tc>
          <w:tcPr>
            <w:tcW w:type="dxa" w:w="6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№ </w:t>
            </w:r>
            <w:r>
              <w:rPr>
                <w:rFonts w:ascii="Arial" w:hAnsi="Arial"/>
                <w:b w:val="1"/>
                <w:color w:val="000000"/>
                <w:sz w:val="20"/>
              </w:rPr>
              <w:t>п/п</w:t>
            </w:r>
          </w:p>
        </w:tc>
        <w:tc>
          <w:tcPr>
            <w:tcW w:type="dxa" w:w="56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Наименование цели, показателя</w:t>
            </w:r>
          </w:p>
        </w:tc>
        <w:tc>
          <w:tcPr>
            <w:tcW w:type="dxa" w:w="3177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Базовое значение показателя</w:t>
            </w:r>
          </w:p>
        </w:tc>
        <w:tc>
          <w:tcPr>
            <w:tcW w:type="dxa" w:w="521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Период, год</w:t>
            </w:r>
          </w:p>
        </w:tc>
      </w:tr>
      <w:tr>
        <w:trPr>
          <w:trHeight w:hRule="atLeast" w:val="470"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56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177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2025</w:t>
            </w:r>
          </w:p>
        </w:tc>
        <w:tc>
          <w:tcPr>
            <w:tcW w:type="dxa" w:w="1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2026</w:t>
            </w:r>
          </w:p>
        </w:tc>
        <w:tc>
          <w:tcPr>
            <w:tcW w:type="dxa" w:w="1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2027</w:t>
            </w:r>
          </w:p>
        </w:tc>
        <w:tc>
          <w:tcPr>
            <w:tcW w:type="dxa" w:w="10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2030</w:t>
            </w:r>
          </w:p>
        </w:tc>
        <w:tc>
          <w:tcPr>
            <w:tcW w:type="dxa" w:w="9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2036</w:t>
            </w:r>
          </w:p>
        </w:tc>
      </w:tr>
      <w:tr>
        <w:trPr>
          <w:trHeight w:hRule="atLeast" w:val="78"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56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Значение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Дата</w:t>
            </w:r>
          </w:p>
        </w:tc>
        <w:tc>
          <w:tcPr>
            <w:tcW w:type="dxa" w:w="1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9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744"/>
        </w:trPr>
        <w:tc>
          <w:tcPr>
            <w:tcW w:type="dxa" w:w="1468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Цель: увеличение объема несырьевого неэнергетического экспорта товаров Камчатского края на 75% к 2030 году 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Основной показатель</w:t>
            </w:r>
            <w:r>
              <w:rPr>
                <w:rFonts w:ascii="Arial" w:hAnsi="Arial"/>
                <w:color w:val="000000"/>
                <w:sz w:val="20"/>
              </w:rPr>
              <w:t>: Реальный рост несырьевого неэнергетического экспорта (% к показателю 2023 г)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100%</w:t>
            </w:r>
          </w:p>
          <w:p w14:paraId="4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145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160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175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240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Основной показатель:</w:t>
            </w:r>
            <w:r>
              <w:rPr>
                <w:rFonts w:ascii="Arial" w:hAnsi="Arial"/>
                <w:color w:val="000000"/>
                <w:sz w:val="20"/>
              </w:rPr>
              <w:t xml:space="preserve"> Объем экспорта товаров отраслей промышленности (в номинальных ценах, в млрд долл. США)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3.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keepNext w:val="1"/>
              <w:spacing w:line="240" w:lineRule="auto"/>
              <w:ind/>
              <w:jc w:val="left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Основной показатель:</w:t>
            </w:r>
            <w:r>
              <w:rPr>
                <w:rFonts w:ascii="Arial" w:hAnsi="Arial"/>
                <w:color w:val="000000"/>
                <w:sz w:val="20"/>
              </w:rPr>
              <w:t xml:space="preserve"> Объем экспорта продукции АПК (в номинальных ценах, в млрд долл. США) 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-*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-*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-*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-*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-*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Дополнительный показатель:</w:t>
            </w:r>
            <w:r>
              <w:rPr>
                <w:rFonts w:ascii="Arial" w:hAnsi="Arial"/>
                <w:color w:val="000000"/>
                <w:sz w:val="20"/>
              </w:rPr>
              <w:t xml:space="preserve"> Объем экспорта туристских услуг (% к 2023 г)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100%</w:t>
            </w:r>
          </w:p>
          <w:p w14:paraId="6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(4,46 млн $)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105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110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115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170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Дополнительный показатель: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 Количество экспортеров товаров, являющихся субъектами МСП, ед.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данные отсутствуют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180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195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220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270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350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Дополнительный показатель: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 Объем несырьевого неэнергетического экспорта субъектов МСП (млн долл. США)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данные отсутствуют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480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510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550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700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900</w:t>
            </w: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7.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Дополнительный показатель:</w:t>
            </w:r>
            <w:r>
              <w:rPr>
                <w:rFonts w:ascii="Arial" w:hAnsi="Arial"/>
                <w:color w:val="000000"/>
                <w:sz w:val="20"/>
              </w:rPr>
              <w:t xml:space="preserve"> Количество стран-партнеров в экспорте товаров, ед.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0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31.12.2023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7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9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  <w:p w14:paraId="8B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8.</w:t>
            </w:r>
          </w:p>
        </w:tc>
        <w:tc>
          <w:tcPr>
            <w:tcW w:type="dxa" w:w="5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Дополнительный: </w:t>
            </w:r>
            <w:r>
              <w:rPr>
                <w:rFonts w:ascii="Arial" w:hAnsi="Arial"/>
                <w:color w:val="000000"/>
                <w:sz w:val="20"/>
              </w:rPr>
              <w:t>Объем экспорта услуг (млн. долл. США)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17,89</w:t>
            </w:r>
          </w:p>
        </w:tc>
        <w:tc>
          <w:tcPr>
            <w:tcW w:type="dxa" w:w="1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31.12.2023</w:t>
            </w:r>
          </w:p>
          <w:p w14:paraId="90000000">
            <w:pPr>
              <w:pStyle w:val="Style_1"/>
              <w:keepNext w:val="1"/>
              <w:spacing w:line="240" w:lineRule="auto"/>
              <w:ind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18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20</w:t>
            </w:r>
          </w:p>
        </w:tc>
        <w:tc>
          <w:tcPr>
            <w:tcW w:type="dxa" w:w="1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23</w:t>
            </w:r>
          </w:p>
        </w:tc>
        <w:tc>
          <w:tcPr>
            <w:tcW w:type="dxa" w:w="10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28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keepNext w:val="1"/>
              <w:spacing w:line="240" w:lineRule="auto"/>
              <w:ind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</w:t>
            </w:r>
          </w:p>
        </w:tc>
      </w:tr>
    </w:tbl>
    <w:p w14:paraId="96000000">
      <w:pPr>
        <w:pStyle w:val="Style_1"/>
        <w:ind w:firstLine="0" w:left="567" w:right="0"/>
        <w:rPr>
          <w:rFonts w:ascii="Arial" w:hAnsi="Arial"/>
          <w:caps w:val="1"/>
          <w:color w:val="568ED4"/>
        </w:rPr>
      </w:pPr>
      <w:r>
        <w:rPr>
          <w:rFonts w:ascii="Arial" w:hAnsi="Arial"/>
          <w:i w:val="1"/>
          <w:sz w:val="20"/>
        </w:rPr>
        <w:t>* – показатели не подлежат опубликованию</w:t>
      </w:r>
      <w:r>
        <w:rPr>
          <w:rStyle w:val="Style_1_ch"/>
          <w:rFonts w:ascii="Arial" w:hAnsi="Arial"/>
          <w:i w:val="1"/>
          <w:sz w:val="20"/>
        </w:rPr>
        <w:t xml:space="preserve"> (</w:t>
      </w:r>
      <w:r>
        <w:rPr>
          <w:rStyle w:val="Style_1_ch"/>
          <w:rFonts w:ascii="Arial" w:hAnsi="Arial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1_ch"/>
          <w:rFonts w:ascii="Arial" w:hAnsi="Arial"/>
          <w:i w:val="1"/>
          <w:sz w:val="20"/>
        </w:rPr>
        <w:t>)</w:t>
      </w:r>
    </w:p>
    <w:p w14:paraId="97000000">
      <w:pPr>
        <w:pStyle w:val="Style_1"/>
        <w:ind w:hanging="567" w:left="567" w:right="0"/>
        <w:rPr>
          <w:rFonts w:ascii="Arial" w:hAnsi="Arial"/>
        </w:rPr>
      </w:pPr>
    </w:p>
    <w:p w14:paraId="98000000">
      <w:pPr>
        <w:pStyle w:val="Style_1"/>
        <w:ind w:hanging="567" w:left="567" w:right="0"/>
        <w:rPr>
          <w:rFonts w:ascii="Arial" w:hAnsi="Arial"/>
        </w:rPr>
      </w:pPr>
    </w:p>
    <w:p w14:paraId="99000000">
      <w:pPr>
        <w:pStyle w:val="Style_1"/>
        <w:ind w:firstLine="0" w:left="567" w:right="0"/>
        <w:rPr>
          <w:rFonts w:ascii="Arial" w:hAnsi="Arial"/>
          <w:caps w:val="1"/>
          <w:color w:val="568ED4"/>
        </w:rPr>
      </w:pPr>
      <w:r>
        <w:rPr>
          <w:rStyle w:val="Style_3_ch"/>
          <w:rFonts w:ascii="Arial" w:hAnsi="Arial"/>
          <w:caps w:val="1"/>
          <w:color w:val="568ED4"/>
        </w:rPr>
        <w:t>4.</w:t>
      </w:r>
      <w:r>
        <w:rPr>
          <w:rFonts w:ascii="Arial" w:hAnsi="Arial"/>
          <w:b w:val="1"/>
          <w:caps w:val="1"/>
          <w:color w:val="568ED4"/>
          <w:spacing w:val="0"/>
          <w:sz w:val="32"/>
        </w:rPr>
        <w:t> </w:t>
      </w:r>
      <w:r>
        <w:rPr>
          <w:rStyle w:val="Style_3_ch"/>
          <w:rFonts w:ascii="Arial" w:hAnsi="Arial"/>
          <w:caps w:val="1"/>
          <w:color w:val="568ED4"/>
        </w:rPr>
        <w:t>Проекты региональной программы развития экспорта</w:t>
      </w:r>
    </w:p>
    <w:p w14:paraId="9A000000">
      <w:pPr>
        <w:pStyle w:val="Style_1"/>
        <w:ind w:firstLine="0" w:left="567" w:right="0"/>
        <w:rPr>
          <w:rFonts w:ascii="Arial" w:hAnsi="Arial"/>
          <w:caps w:val="1"/>
          <w:color w:val="568ED4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1"/>
        <w:gridCol w:w="4358"/>
        <w:gridCol w:w="2923"/>
        <w:gridCol w:w="6820"/>
      </w:tblGrid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 xml:space="preserve">Наименование задачи, Проектов </w:t>
            </w:r>
          </w:p>
        </w:tc>
        <w:tc>
          <w:tcPr>
            <w:tcW w:type="dxa" w:w="2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Срок реализации</w:t>
            </w:r>
          </w:p>
        </w:tc>
        <w:tc>
          <w:tcPr>
            <w:tcW w:type="dxa" w:w="6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Показатели региональной программы, на достижение которых направлена реализация проекта</w:t>
            </w:r>
          </w:p>
        </w:tc>
      </w:tr>
      <w:tr>
        <w:trPr>
          <w:trHeight w:hRule="atLeast" w:val="628"/>
        </w:trPr>
        <w:tc>
          <w:tcPr>
            <w:tcW w:type="dxa" w:w="1468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Задача 1. Предоставление мер государственной поддержки экспортерам и экспортно ориентированным предприятиям Камчатского края, комплексное развитие инфраструктуры, </w:t>
            </w:r>
          </w:p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1.1.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  <w:tc>
          <w:tcPr>
            <w:tcW w:type="dxa" w:w="2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Реальный рост несырьевого неэнергетического экспорта (% к показателю 2023 г)</w:t>
            </w:r>
          </w:p>
          <w:p w14:paraId="A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Количество стран–партнеров в экспорте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1.2.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продукции АПК в Камчатском крае</w:t>
            </w:r>
          </w:p>
        </w:tc>
        <w:tc>
          <w:tcPr>
            <w:tcW w:type="dxa" w:w="2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  <w:p w14:paraId="A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</w:p>
        </w:tc>
        <w:tc>
          <w:tcPr>
            <w:tcW w:type="dxa" w:w="6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A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Количество стран–партнеров в экспорте товаров, ед.</w:t>
            </w:r>
          </w:p>
        </w:tc>
      </w:tr>
      <w:tr>
        <w:trPr>
          <w:trHeight w:hRule="atLeast" w:val="396"/>
        </w:trPr>
        <w:tc>
          <w:tcPr>
            <w:tcW w:type="dxa" w:w="1468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 xml:space="preserve">Задача 2. 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мероприятий, направленных на укрепление сотрудничества с дружественными странами</w:t>
            </w:r>
          </w:p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2.1.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  <w:tc>
          <w:tcPr>
            <w:tcW w:type="dxa" w:w="2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Реальный рост несырьевого неэнергетического экспорта (% к показателю 2023 г)</w:t>
            </w:r>
          </w:p>
          <w:p w14:paraId="B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Количество стран–партнеров в экспорте товаров, ед.</w:t>
            </w:r>
          </w:p>
        </w:tc>
      </w:tr>
      <w:tr>
        <w:trPr>
          <w:trHeight w:hRule="atLeast" w:val="396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505"/>
        </w:trPr>
        <w:tc>
          <w:tcPr>
            <w:tcW w:type="dxa" w:w="1468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Задача 3. 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Продвижение товаров АПК с учетом акцентирования его экологических, уникальных, натуральных свойств</w:t>
            </w:r>
          </w:p>
        </w:tc>
      </w:tr>
      <w:tr>
        <w:trPr>
          <w:trHeight w:hRule="atLeast" w:val="396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3.1.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Комплексные мероприятия по созданию благоприятных условий ведения экспортной деятельности в Камчатском крае </w:t>
            </w:r>
          </w:p>
        </w:tc>
        <w:tc>
          <w:tcPr>
            <w:tcW w:type="dxa" w:w="2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Реальный рост несырьевого неэнергетического экспорта (% к показателю 2023 г)</w:t>
            </w:r>
          </w:p>
          <w:p w14:paraId="B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B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Количество стран–партнеров в экспорте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349"/>
        </w:trPr>
        <w:tc>
          <w:tcPr>
            <w:tcW w:type="dxa" w:w="5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3.2.</w:t>
            </w:r>
          </w:p>
        </w:tc>
        <w:tc>
          <w:tcPr>
            <w:tcW w:type="dxa" w:w="43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продукции АПК в Камчатском крае</w:t>
            </w:r>
          </w:p>
        </w:tc>
        <w:tc>
          <w:tcPr>
            <w:tcW w:type="dxa" w:w="2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Объем экспорта продукции АПК (в номинальных ценах, в млрд долл. США)</w:t>
            </w:r>
          </w:p>
          <w:p w14:paraId="B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Количество стран–партнеров в экспорте товаров, ед.</w:t>
            </w:r>
          </w:p>
        </w:tc>
      </w:tr>
      <w:tr>
        <w:trPr>
          <w:trHeight w:hRule="atLeast" w:val="281"/>
        </w:trPr>
        <w:tc>
          <w:tcPr>
            <w:tcW w:type="dxa" w:w="5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3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500"/>
        </w:trPr>
        <w:tc>
          <w:tcPr>
            <w:tcW w:type="dxa" w:w="1468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Задача 4. Продвижение туристического потенциала Камчатского края в зарубежных странах</w:t>
            </w:r>
          </w:p>
        </w:tc>
      </w:tr>
      <w:tr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4.1.</w:t>
            </w:r>
          </w:p>
        </w:tc>
        <w:tc>
          <w:tcPr>
            <w:tcW w:type="dxa" w:w="4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туристических услуг в Камчатском крае</w:t>
            </w:r>
          </w:p>
        </w:tc>
        <w:tc>
          <w:tcPr>
            <w:tcW w:type="dxa" w:w="2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01.01.2025-31.12.2030</w:t>
            </w:r>
          </w:p>
        </w:tc>
        <w:tc>
          <w:tcPr>
            <w:tcW w:type="dxa" w:w="6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Объем экспорта туристских услуг (% к 2023 г)</w:t>
            </w:r>
          </w:p>
          <w:p w14:paraId="C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Объем экспорта услуг (млн. долл. США)</w:t>
            </w:r>
          </w:p>
        </w:tc>
      </w:tr>
    </w:tbl>
    <w:p w14:paraId="C3000000">
      <w:pPr>
        <w:pStyle w:val="Style_1"/>
        <w:ind w:hanging="567" w:left="567" w:right="0"/>
        <w:rPr>
          <w:rFonts w:ascii="Arial" w:hAnsi="Arial"/>
        </w:rPr>
      </w:pPr>
    </w:p>
    <w:p w14:paraId="C4000000">
      <w:pPr>
        <w:pStyle w:val="Style_3"/>
        <w:ind w:firstLine="709" w:left="0" w:right="0"/>
        <w:jc w:val="left"/>
        <w:rPr>
          <w:rFonts w:ascii="Arial" w:hAnsi="Arial"/>
          <w:caps w:val="1"/>
          <w:color w:val="568ED4"/>
        </w:rPr>
      </w:pPr>
      <w:r>
        <w:rPr>
          <w:rStyle w:val="Style_3_ch"/>
          <w:rFonts w:ascii="Arial" w:hAnsi="Arial"/>
          <w:caps w:val="1"/>
          <w:color w:val="568ED4"/>
        </w:rPr>
        <w:t>5. Финансовое обеспечение проекта*</w:t>
      </w:r>
    </w:p>
    <w:p w14:paraId="C5000000">
      <w:pPr>
        <w:pStyle w:val="Style_1"/>
        <w:ind w:hanging="567" w:left="567" w:right="0"/>
        <w:rPr>
          <w:rFonts w:ascii="Arial" w:hAnsi="Arial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28"/>
        <w:gridCol w:w="7490"/>
        <w:gridCol w:w="1173"/>
        <w:gridCol w:w="1276"/>
        <w:gridCol w:w="1275"/>
        <w:gridCol w:w="1194"/>
        <w:gridCol w:w="1323"/>
      </w:tblGrid>
      <w:tr>
        <w:trPr>
          <w:tblHeader/>
        </w:trPr>
        <w:tc>
          <w:tcPr>
            <w:tcW w:type="dxa" w:w="8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№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74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Наименование проекта, результатов (мероприятий) проектов и источников финансирования</w:t>
            </w:r>
          </w:p>
        </w:tc>
        <w:tc>
          <w:tcPr>
            <w:tcW w:type="dxa" w:w="491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Всего,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млн руб.</w:t>
            </w:r>
          </w:p>
        </w:tc>
      </w:tr>
      <w:tr>
        <w:trPr>
          <w:tblHeader/>
        </w:trPr>
        <w:tc>
          <w:tcPr>
            <w:tcW w:type="dxa" w:w="8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74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2027-2028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0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2029-2030</w:t>
            </w:r>
          </w:p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Проект «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Комплексные мероприятия по созданию благоприятных условий ведения экспортной деятельности в Камчатском крае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624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9,4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18,2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18,2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55,2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 Камчатского края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67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67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138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144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416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i w:val="1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внебюджетные источники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  <w:tc>
          <w:tcPr>
            <w:tcW w:type="dxa" w:w="624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Проект «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продукции АПК в Камчатском крае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624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 Камчатского края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i w:val="1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внебюджетные источники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Проект «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туристических услуг в Камчатском крае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»</w:t>
            </w:r>
          </w:p>
        </w:tc>
        <w:tc>
          <w:tcPr>
            <w:tcW w:type="dxa" w:w="624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3.3.1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 Камчатского края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24,9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55,1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56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163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3.3.2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3.3.3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i w:val="1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3.4</w:t>
            </w: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внебюджетные источники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3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Всего по Региональной программе, в том числе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         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9,4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18,2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18,2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55,2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 Камчатского края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91,9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94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193,1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200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579,9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1"/>
              <w:widowControl w:val="1"/>
              <w:spacing w:after="0" w:before="0" w:line="240" w:lineRule="auto"/>
              <w:ind w:firstLine="0" w:left="521" w:right="0"/>
              <w:jc w:val="left"/>
              <w:rPr>
                <w:rFonts w:ascii="Arial" w:hAnsi="Arial"/>
                <w:i w:val="1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бюджеты муниципальных образований (без учета межбюджетных трансфертов из бюджета Камчатского края)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  <w:tr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type="dxa" w:w="7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1"/>
              <w:widowControl w:val="1"/>
              <w:spacing w:after="0" w:before="0" w:line="240" w:lineRule="auto"/>
              <w:ind w:firstLine="0" w:left="237" w:right="0"/>
              <w:jc w:val="lef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внебюджетные источники</w:t>
            </w:r>
          </w:p>
        </w:tc>
        <w:tc>
          <w:tcPr>
            <w:tcW w:type="dxa" w:w="11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0,0</w:t>
            </w:r>
          </w:p>
        </w:tc>
      </w:tr>
    </w:tbl>
    <w:p w14:paraId="B2010000">
      <w:pPr>
        <w:pStyle w:val="Style_1"/>
        <w:spacing w:after="60" w:before="60"/>
        <w:ind/>
        <w:rPr>
          <w:rFonts w:ascii="Arial" w:hAnsi="Arial"/>
          <w:i w:val="1"/>
        </w:rPr>
      </w:pPr>
    </w:p>
    <w:p w14:paraId="B3010000">
      <w:pPr>
        <w:pStyle w:val="Style_1"/>
        <w:spacing w:after="60" w:before="60"/>
        <w:ind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*</w:t>
      </w:r>
      <w:r>
        <w:rPr>
          <w:rFonts w:ascii="Arial" w:hAnsi="Arial"/>
          <w:i w:val="1"/>
          <w:sz w:val="20"/>
        </w:rPr>
        <w:t xml:space="preserve"> Финансирование предусмотрено за счет средств Государственных программ Камчатского края:</w:t>
      </w:r>
    </w:p>
    <w:p w14:paraId="B401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</w:r>
    </w:p>
    <w:p w14:paraId="B501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701-П.</w:t>
      </w:r>
    </w:p>
    <w:p w14:paraId="B6010000">
      <w:pPr>
        <w:pStyle w:val="Style_1"/>
        <w:spacing w:after="60" w:before="60"/>
        <w:ind/>
        <w:rPr>
          <w:rFonts w:ascii="Arial" w:hAnsi="Arial"/>
          <w:i w:val="1"/>
        </w:rPr>
      </w:pPr>
      <w:r>
        <w:rPr>
          <w:rFonts w:ascii="Arial" w:hAnsi="Arial"/>
        </w:rPr>
        <w:br w:type="page"/>
      </w:r>
    </w:p>
    <w:p w14:paraId="B7010000">
      <w:pPr>
        <w:pStyle w:val="Style_1"/>
        <w:spacing w:after="0" w:before="0"/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№ 1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к паспорту Региональной программы развития экспорта</w:t>
      </w:r>
    </w:p>
    <w:p w14:paraId="B8010000">
      <w:pPr>
        <w:pStyle w:val="Style_1"/>
        <w:keepNext w:val="1"/>
        <w:ind/>
        <w:rPr>
          <w:rFonts w:ascii="Arial" w:hAnsi="Arial"/>
          <w:caps w:val="1"/>
          <w:sz w:val="28"/>
        </w:rPr>
      </w:pPr>
    </w:p>
    <w:p w14:paraId="B9010000">
      <w:pPr>
        <w:pStyle w:val="Style_1"/>
        <w:keepNext w:val="1"/>
        <w:ind/>
        <w:rPr>
          <w:rFonts w:ascii="Arial" w:hAnsi="Arial"/>
          <w:caps w:val="1"/>
          <w:sz w:val="28"/>
        </w:rPr>
      </w:pPr>
      <w:r>
        <w:rPr>
          <w:rFonts w:ascii="Arial" w:hAnsi="Arial"/>
          <w:b w:val="1"/>
          <w:caps w:val="1"/>
          <w:color w:themeColor="text2" w:val="006BB6"/>
          <w:sz w:val="28"/>
        </w:rPr>
        <w:t>Участники РАЗРАБОТКИ И РЕАЛИЗАЦИИ региональной программы развития экспорта</w:t>
      </w:r>
    </w:p>
    <w:p w14:paraId="BA010000">
      <w:pPr>
        <w:pStyle w:val="Style_1"/>
        <w:keepNext w:val="1"/>
        <w:ind/>
        <w:rPr>
          <w:rFonts w:ascii="Arial" w:hAnsi="Arial"/>
          <w:b w:val="1"/>
          <w:caps w:val="1"/>
          <w:color w:themeColor="text2" w:val="006BB6"/>
          <w:sz w:val="28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8"/>
        <w:gridCol w:w="2315"/>
        <w:gridCol w:w="6847"/>
        <w:gridCol w:w="4905"/>
      </w:tblGrid>
      <w:tr>
        <w:trPr>
          <w:tblHeader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1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№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1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Фамилия, инициалы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1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Наименование организации, должность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10000">
            <w:pPr>
              <w:pStyle w:val="Style_1"/>
              <w:widowControl w:val="1"/>
              <w:spacing w:after="120" w:before="12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Роль в программе развития экспорта</w:t>
            </w:r>
          </w:p>
        </w:tc>
      </w:tr>
      <w:tr>
        <w:trPr>
          <w:trHeight w:hRule="atLeast" w:val="404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Морозова Ю.С.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Председатель Правительства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Куратор Региональной программы</w:t>
            </w:r>
          </w:p>
        </w:tc>
      </w:tr>
      <w:tr>
        <w:trPr>
          <w:trHeight w:hRule="atLeast" w:val="360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Русанов В.В.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Министр туризма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Руководитель Региональной программы</w:t>
            </w:r>
          </w:p>
        </w:tc>
      </w:tr>
      <w:tr>
        <w:trPr>
          <w:trHeight w:hRule="atLeast" w:val="645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Товмач Н.Н.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Начальник отдела внешнеэкономической деятельности Министерства туризма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Администратор Региональной программы</w:t>
            </w:r>
          </w:p>
        </w:tc>
      </w:tr>
      <w:tr>
        <w:trPr>
          <w:trHeight w:hRule="atLeast" w:val="570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Русанов В.В.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Министр туризма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Руководитель Проектов Региональной программы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:</w:t>
            </w:r>
          </w:p>
          <w:p w14:paraId="C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-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 «Комплексные мероприятия по созданию благоприятных условий ведения экспортной деятельности в Камчатском крае»; </w:t>
            </w:r>
          </w:p>
          <w:p w14:paraId="D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-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 «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туристических услуг в Камчатском крае»</w:t>
            </w:r>
          </w:p>
        </w:tc>
      </w:tr>
      <w:tr>
        <w:trPr>
          <w:trHeight w:hRule="atLeast" w:val="600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Здетоветский А.Г.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Министр рыбного хозяйства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Руководитель Проекта Региональной программы «Развитие экспорта продукции АПК в Камчатском крае</w:t>
            </w:r>
            <w:r>
              <w:rPr>
                <w:rFonts w:ascii="Arial" w:hAnsi="Arial"/>
                <w:sz w:val="20"/>
              </w:rPr>
              <w:t>»</w:t>
            </w:r>
          </w:p>
        </w:tc>
      </w:tr>
      <w:tr>
        <w:trPr>
          <w:trHeight w:hRule="atLeast" w:val="585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sz w:val="20"/>
                <w:u w:color="000000" w:val="none"/>
              </w:rPr>
              <w:t>Сафонов А.С.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Министр транспорта и дорожного строительства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Участник Проекта Региональной программы «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Развитие экспорта туристических услуг в Камчатском крае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»</w:t>
            </w:r>
          </w:p>
        </w:tc>
      </w:tr>
      <w:tr>
        <w:trPr>
          <w:trHeight w:hRule="atLeast" w:val="540"/>
        </w:trP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Ломова Т.В.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Руководитель центра поддержки экспорта Камчатского края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Участник Проектов Региональной программы</w:t>
            </w:r>
          </w:p>
        </w:tc>
      </w:tr>
      <w:tr>
        <w:tc>
          <w:tcPr>
            <w:tcW w:type="dxa" w:w="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2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  <w:u w:color="000000" w:val="none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Коростелев Д.А.</w:t>
            </w:r>
          </w:p>
        </w:tc>
        <w:tc>
          <w:tcPr>
            <w:tcW w:type="dxa" w:w="6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Президент Союза 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 xml:space="preserve">«Торгово-промышленная палата 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Камчатс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кого края»</w:t>
            </w:r>
          </w:p>
        </w:tc>
        <w:tc>
          <w:tcPr>
            <w:tcW w:type="dxa" w:w="4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Участник Проекта Региональной программы </w:t>
            </w:r>
            <w:r>
              <w:rPr>
                <w:rFonts w:ascii="Arial" w:hAnsi="Arial"/>
                <w:color w:val="000000"/>
                <w:spacing w:val="0"/>
                <w:sz w:val="20"/>
                <w:u w:color="000000" w:val="none"/>
              </w:rPr>
              <w:t>«Комплексные мероприятия по созданию благоприятных условий ведения экспортной деятельности в Камчатском крае»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 (по согласованию)</w:t>
            </w:r>
          </w:p>
        </w:tc>
      </w:tr>
    </w:tbl>
    <w:p w14:paraId="E1010000">
      <w:pPr>
        <w:pStyle w:val="Style_1"/>
        <w:spacing w:after="60" w:before="60"/>
        <w:ind/>
        <w:rPr>
          <w:rFonts w:ascii="Arial" w:hAnsi="Arial"/>
          <w:i w:val="1"/>
        </w:rPr>
      </w:pPr>
      <w:r>
        <w:rPr>
          <w:rFonts w:ascii="Arial" w:hAnsi="Arial"/>
        </w:rPr>
        <w:br w:type="page"/>
      </w:r>
    </w:p>
    <w:p w14:paraId="E2010000">
      <w:pPr>
        <w:pStyle w:val="Style_1"/>
        <w:spacing w:after="0" w:before="0"/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№ 2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к паспорту Региональной программы </w:t>
      </w:r>
      <w:bookmarkStart w:id="2" w:name="_Hlk73258544"/>
      <w:r>
        <w:rPr>
          <w:rFonts w:ascii="Arial" w:hAnsi="Arial"/>
          <w:sz w:val="20"/>
        </w:rPr>
        <w:t>развития экспорта</w:t>
      </w:r>
      <w:bookmarkEnd w:id="2"/>
    </w:p>
    <w:p w14:paraId="E3010000">
      <w:pPr>
        <w:pStyle w:val="Style_1"/>
        <w:keepNext w:val="1"/>
        <w:ind/>
        <w:rPr>
          <w:rFonts w:ascii="Arial" w:hAnsi="Arial"/>
          <w:b w:val="1"/>
          <w:caps w:val="1"/>
          <w:color w:themeColor="text2" w:val="006BB6"/>
          <w:sz w:val="20"/>
        </w:rPr>
      </w:pPr>
    </w:p>
    <w:p w14:paraId="E4010000">
      <w:pPr>
        <w:pStyle w:val="Style_1"/>
        <w:keepNext w:val="1"/>
        <w:ind/>
        <w:rPr>
          <w:rFonts w:ascii="Arial" w:hAnsi="Arial"/>
          <w:b w:val="1"/>
          <w:caps w:val="1"/>
          <w:color w:themeColor="text2" w:val="006BB6"/>
          <w:sz w:val="28"/>
        </w:rPr>
      </w:pPr>
      <w:r>
        <w:rPr>
          <w:rFonts w:ascii="Arial" w:hAnsi="Arial"/>
          <w:b w:val="1"/>
          <w:caps w:val="1"/>
          <w:color w:themeColor="text2" w:val="006BB6"/>
          <w:sz w:val="28"/>
        </w:rPr>
        <w:t>Внедрение инструментов Регионального экспортного стандарта 2.0</w:t>
      </w: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54"/>
        <w:gridCol w:w="1680"/>
        <w:gridCol w:w="3690"/>
        <w:gridCol w:w="3659"/>
      </w:tblGrid>
      <w:tr>
        <w:trPr>
          <w:tblHeader/>
        </w:trP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Раздел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Сроки внедрения инструмента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(что уже сделано)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Что планируется реализовать (мероприятия)</w:t>
            </w:r>
          </w:p>
        </w:tc>
      </w:tr>
      <w:tr>
        <w:trPr>
          <w:trHeight w:hRule="atLeast" w:val="502"/>
        </w:trPr>
        <w:tc>
          <w:tcPr>
            <w:tcW w:type="dxa" w:w="1468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rPr>
          <w:trHeight w:hRule="atLeast" w:val="762"/>
        </w:trP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2024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Внедрен на 100%,</w:t>
            </w:r>
          </w:p>
          <w:p w14:paraId="ED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документ актуализирован 17.04.2025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2023 год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Внедрен на 100%, </w:t>
            </w:r>
          </w:p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color w:val="000000"/>
                <w:spacing w:val="0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30.08.2025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15.06.2025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требований АО «Российский экспортный центр»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F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25.12.2025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01.08.2025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Осуществление подготовки кадров в сфере внешнеэкономической деятельности на базе 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Вы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сших учебных заведений Камчатского края 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30.05.2025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Внедрен на 100%</w:t>
            </w:r>
          </w:p>
          <w:p w14:paraId="1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553"/>
        </w:trPr>
        <w:tc>
          <w:tcPr>
            <w:tcW w:type="dxa" w:w="1468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30.11.2025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Организация образовательных мероприятий для экспортно ориентированных предприятий 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Определ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ены экспортной стратегией наиболее </w:t>
            </w:r>
            <w:bookmarkStart w:id="3" w:name="_GoBack"/>
            <w:bookmarkEnd w:id="3"/>
            <w:r>
              <w:rPr>
                <w:rFonts w:ascii="Arial" w:hAnsi="Arial"/>
                <w:color w:val="000000"/>
                <w:spacing w:val="0"/>
                <w:sz w:val="20"/>
              </w:rPr>
              <w:t>перспективные о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t>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1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01.09.2025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2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607"/>
        </w:trPr>
        <w:tc>
          <w:tcPr>
            <w:tcW w:type="dxa" w:w="1468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01.07.2025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5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01.10.2025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  <w:tr>
        <w:trPr>
          <w:trHeight w:hRule="atLeast" w:val="550"/>
        </w:trPr>
        <w:tc>
          <w:tcPr>
            <w:tcW w:type="dxa" w:w="1468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V. Ресурсное обеспечение субъекта Российской Федерации на развитие экспортной деятельности и стратегические ориентиры до 2030 года</w:t>
            </w:r>
          </w:p>
        </w:tc>
      </w:tr>
      <w:tr>
        <w:tc>
          <w:tcPr>
            <w:tcW w:type="dxa" w:w="733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Финансовое обеспечение реализации составляет не менее чем 0,01% ВРП субъекта Российской Федерации, но не менее 50 млн рублей ежегодно</w:t>
            </w:r>
          </w:p>
        </w:tc>
        <w:tc>
          <w:tcPr>
            <w:tcW w:type="dxa" w:w="3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0"/>
                <w:u w:val="single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  <w:u w:val="single"/>
              </w:rPr>
              <w:t>Да</w:t>
            </w:r>
          </w:p>
        </w:tc>
        <w:tc>
          <w:tcPr>
            <w:tcW w:type="dxa" w:w="3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0"/>
                <w:u w:val="single"/>
              </w:rPr>
            </w:pPr>
            <w:bookmarkStart w:id="4" w:name="_Hlk101877381"/>
            <w:bookmarkEnd w:id="4"/>
          </w:p>
        </w:tc>
      </w:tr>
    </w:tbl>
    <w:p w14:paraId="32020000">
      <w:pPr>
        <w:pStyle w:val="Style_1"/>
        <w:spacing w:after="120" w:before="120"/>
        <w:ind/>
        <w:rPr>
          <w:rFonts w:ascii="Arial" w:hAnsi="Arial"/>
        </w:rPr>
      </w:pPr>
    </w:p>
    <w:sectPr>
      <w:headerReference r:id="rId5" w:type="default"/>
      <w:headerReference r:id="rId3" w:type="first"/>
      <w:headerReference r:id="rId4" w:type="even"/>
      <w:type w:val="nextPage"/>
      <w:pgSz w:h="11906" w:orient="landscape" w:w="16838"/>
      <w:pgMar w:bottom="709" w:footer="0" w:gutter="0" w:header="709" w:left="1077" w:right="1077" w:top="1077"/>
      <w:pgNumType w:fmt="decimal" w:start="2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120" w:before="120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000000">
                          <w:pPr>
                            <w:pStyle w:val="Style_1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spacing w:after="120" w:before="120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000000">
                          <w:pPr>
                            <w:pStyle w:val="Style_1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7000000">
    <w:pPr>
      <w:pStyle w:val="Style_1"/>
      <w:ind/>
      <w:jc w:val="center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spacing w:after="120" w:before="120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A000000">
                          <w:pPr>
                            <w:pStyle w:val="Style_1"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spacing w:after="120" w:before="120"/>
      <w:ind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XO Thames" w:hAnsi="XO Thames"/>
      <w:color w:val="000000"/>
      <w:spacing w:val="0"/>
      <w:sz w:val="24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Гиперссылка2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FF"/>
      <w:spacing w:val="0"/>
      <w:sz w:val="24"/>
      <w:u w:val="single"/>
    </w:rPr>
  </w:style>
  <w:style w:styleId="Style_6_ch" w:type="character">
    <w:name w:val="Гиперссылка21"/>
    <w:link w:val="Style_6"/>
    <w:rPr>
      <w:rFonts w:ascii="XO Thames" w:hAnsi="XO Thames"/>
      <w:color w:val="0000FF"/>
      <w:spacing w:val="0"/>
      <w:sz w:val="24"/>
      <w:u w:val="single"/>
    </w:rPr>
  </w:style>
  <w:style w:styleId="Style_7" w:type="paragraph">
    <w:name w:val="Default Paragraph Font1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4"/>
    </w:rPr>
  </w:style>
  <w:style w:styleId="Style_7_ch" w:type="character">
    <w:name w:val="Default Paragraph Font1"/>
    <w:link w:val="Style_7"/>
    <w:rPr>
      <w:rFonts w:ascii="XO Thames" w:hAnsi="XO Thames"/>
      <w:color w:val="000000"/>
      <w:spacing w:val="0"/>
      <w:sz w:val="24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41"/>
    <w:link w:val="Style_9_ch"/>
    <w:rPr>
      <w:b w:val="1"/>
    </w:rPr>
  </w:style>
  <w:style w:styleId="Style_9_ch" w:type="character">
    <w:name w:val="Heading 41"/>
    <w:link w:val="Style_9"/>
    <w:rPr>
      <w:b w:val="1"/>
    </w:rPr>
  </w:style>
  <w:style w:styleId="Style_10" w:type="paragraph">
    <w:name w:val="Header and Footer2"/>
    <w:link w:val="Style_1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0_ch" w:type="character">
    <w:name w:val="Header and Footer2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Указатель"/>
    <w:basedOn w:val="Style_1"/>
    <w:link w:val="Style_11_ch"/>
  </w:style>
  <w:style w:styleId="Style_11_ch" w:type="character">
    <w:name w:val="Указатель"/>
    <w:basedOn w:val="Style_1_ch"/>
    <w:link w:val="Style_11"/>
  </w:style>
  <w:style w:styleId="Style_12" w:type="paragraph">
    <w:name w:val="toc 6"/>
    <w:next w:val="Style_1"/>
    <w:link w:val="Style_12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7"/>
    <w:next w:val="Style_1"/>
    <w:link w:val="Style_13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Contents 2"/>
    <w:link w:val="Style_14_ch"/>
    <w:rPr>
      <w:sz w:val="28"/>
    </w:rPr>
  </w:style>
  <w:style w:styleId="Style_14_ch" w:type="character">
    <w:name w:val="Contents 2"/>
    <w:link w:val="Style_14"/>
    <w:rPr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1"/>
    <w:link w:val="Style_1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Index Heading1"/>
    <w:link w:val="Style_17_ch"/>
  </w:style>
  <w:style w:styleId="Style_17_ch" w:type="character">
    <w:name w:val="Index Heading1"/>
    <w:link w:val="Style_17"/>
  </w:style>
  <w:style w:styleId="Style_18" w:type="paragraph">
    <w:name w:val="Заголовок Знак1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18_ch" w:type="character">
    <w:name w:val="Заголовок Знак1"/>
    <w:link w:val="Style_18"/>
    <w:rPr>
      <w:rFonts w:ascii="XO Thames" w:hAnsi="XO Thames"/>
      <w:b w:val="1"/>
      <w:caps w:val="1"/>
      <w:color w:val="000000"/>
      <w:spacing w:val="0"/>
      <w:sz w:val="40"/>
    </w:rPr>
  </w:style>
  <w:style w:styleId="Style_19" w:type="paragraph">
    <w:name w:val="Заголовок"/>
    <w:basedOn w:val="Style_1"/>
    <w:next w:val="Style_20"/>
    <w:link w:val="Style_1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9_ch" w:type="character">
    <w:name w:val="Заголовок"/>
    <w:basedOn w:val="Style_1_ch"/>
    <w:link w:val="Style_19"/>
    <w:rPr>
      <w:rFonts w:ascii="Liberation Sans" w:hAnsi="Liberation Sans"/>
      <w:sz w:val="28"/>
    </w:rPr>
  </w:style>
  <w:style w:styleId="Style_21" w:type="paragraph">
    <w:name w:val="Заголовок 2 Знак1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1_ch" w:type="character">
    <w:name w:val="Заголовок 2 Знак1"/>
    <w:link w:val="Style_21"/>
    <w:rPr>
      <w:rFonts w:ascii="XO Thames" w:hAnsi="XO Thames"/>
      <w:b w:val="1"/>
      <w:color w:val="000000"/>
      <w:spacing w:val="0"/>
      <w:sz w:val="28"/>
    </w:rPr>
  </w:style>
  <w:style w:styleId="Style_22" w:type="paragraph">
    <w:name w:val="Internet Link1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FF"/>
      <w:spacing w:val="0"/>
      <w:sz w:val="24"/>
      <w:u w:val="single"/>
    </w:rPr>
  </w:style>
  <w:style w:styleId="Style_22_ch" w:type="character">
    <w:name w:val="Internet Link1"/>
    <w:link w:val="Style_22"/>
    <w:rPr>
      <w:rFonts w:ascii="XO Thames" w:hAnsi="XO Thames"/>
      <w:color w:val="0000FF"/>
      <w:spacing w:val="0"/>
      <w:sz w:val="24"/>
      <w:u w:val="single"/>
    </w:rPr>
  </w:style>
  <w:style w:styleId="Style_23" w:type="paragraph">
    <w:name w:val="Содержимое таблицы1"/>
    <w:basedOn w:val="Style_1"/>
    <w:link w:val="Style_23_ch"/>
    <w:pPr>
      <w:widowControl w:val="0"/>
      <w:ind/>
    </w:pPr>
  </w:style>
  <w:style w:styleId="Style_23_ch" w:type="character">
    <w:name w:val="Содержимое таблицы1"/>
    <w:basedOn w:val="Style_1_ch"/>
    <w:link w:val="Style_23"/>
  </w:style>
  <w:style w:styleId="Style_24" w:type="paragraph">
    <w:name w:val="Subtitle1"/>
    <w:link w:val="Style_24_ch"/>
    <w:rPr>
      <w:i w:val="1"/>
    </w:rPr>
  </w:style>
  <w:style w:styleId="Style_24_ch" w:type="character">
    <w:name w:val="Subtitle1"/>
    <w:link w:val="Style_24"/>
    <w:rPr>
      <w:i w:val="1"/>
    </w:rPr>
  </w:style>
  <w:style w:styleId="Style_25" w:type="paragraph">
    <w:name w:val="Heading 51"/>
    <w:link w:val="Style_25_ch"/>
    <w:rPr>
      <w:b w:val="1"/>
      <w:sz w:val="22"/>
    </w:rPr>
  </w:style>
  <w:style w:styleId="Style_25_ch" w:type="character">
    <w:name w:val="Heading 51"/>
    <w:link w:val="Style_25"/>
    <w:rPr>
      <w:b w:val="1"/>
      <w:sz w:val="22"/>
    </w:rPr>
  </w:style>
  <w:style w:styleId="Style_26" w:type="paragraph">
    <w:name w:val="Text body"/>
    <w:link w:val="Style_26_ch"/>
  </w:style>
  <w:style w:styleId="Style_26_ch" w:type="character">
    <w:name w:val="Text body"/>
    <w:link w:val="Style_26"/>
  </w:style>
  <w:style w:styleId="Style_27" w:type="paragraph">
    <w:name w:val="Contents 5"/>
    <w:link w:val="Style_27_ch"/>
    <w:rPr>
      <w:sz w:val="28"/>
    </w:rPr>
  </w:style>
  <w:style w:styleId="Style_27_ch" w:type="character">
    <w:name w:val="Contents 5"/>
    <w:link w:val="Style_27"/>
    <w:rPr>
      <w:sz w:val="28"/>
    </w:rPr>
  </w:style>
  <w:style w:styleId="Style_28" w:type="paragraph">
    <w:name w:val="Заголовок 3 Знак1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6"/>
    </w:rPr>
  </w:style>
  <w:style w:styleId="Style_28_ch" w:type="character">
    <w:name w:val="Заголовок 3 Знак1"/>
    <w:link w:val="Style_28"/>
    <w:rPr>
      <w:rFonts w:ascii="XO Thames" w:hAnsi="XO Thames"/>
      <w:b w:val="1"/>
      <w:color w:val="000000"/>
      <w:spacing w:val="0"/>
      <w:sz w:val="26"/>
    </w:rPr>
  </w:style>
  <w:style w:styleId="Style_29" w:type="paragraph">
    <w:name w:val="Обычный11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4"/>
    </w:rPr>
  </w:style>
  <w:style w:styleId="Style_29_ch" w:type="character">
    <w:name w:val="Обычный11"/>
    <w:link w:val="Style_29"/>
    <w:rPr>
      <w:rFonts w:ascii="XO Thames" w:hAnsi="XO Thames"/>
      <w:color w:val="000000"/>
      <w:spacing w:val="0"/>
      <w:sz w:val="24"/>
    </w:rPr>
  </w:style>
  <w:style w:styleId="Style_30" w:type="paragraph">
    <w:name w:val="Contents 6"/>
    <w:link w:val="Style_30_ch"/>
    <w:rPr>
      <w:sz w:val="28"/>
    </w:rPr>
  </w:style>
  <w:style w:styleId="Style_30_ch" w:type="character">
    <w:name w:val="Contents 6"/>
    <w:link w:val="Style_30"/>
    <w:rPr>
      <w:sz w:val="28"/>
    </w:rPr>
  </w:style>
  <w:style w:styleId="Style_31" w:type="paragraph">
    <w:name w:val="Заголовок 4 Знак1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4"/>
    </w:rPr>
  </w:style>
  <w:style w:styleId="Style_31_ch" w:type="character">
    <w:name w:val="Заголовок 4 Знак1"/>
    <w:link w:val="Style_31"/>
    <w:rPr>
      <w:rFonts w:ascii="XO Thames" w:hAnsi="XO Thames"/>
      <w:b w:val="1"/>
      <w:color w:val="000000"/>
      <w:spacing w:val="0"/>
      <w:sz w:val="24"/>
    </w:rPr>
  </w:style>
  <w:style w:styleId="Style_32" w:type="paragraph">
    <w:name w:val="Заголовок11"/>
    <w:basedOn w:val="Style_29"/>
    <w:link w:val="Style_32_ch"/>
    <w:rPr>
      <w:rFonts w:ascii="Liberation Sans" w:hAnsi="Liberation Sans"/>
      <w:color w:val="000000"/>
      <w:sz w:val="28"/>
    </w:rPr>
  </w:style>
  <w:style w:styleId="Style_32_ch" w:type="character">
    <w:name w:val="Заголовок11"/>
    <w:basedOn w:val="Style_29_ch"/>
    <w:link w:val="Style_32"/>
    <w:rPr>
      <w:rFonts w:ascii="Liberation Sans" w:hAnsi="Liberation Sans"/>
      <w:color w:val="000000"/>
      <w:sz w:val="28"/>
    </w:rPr>
  </w:style>
  <w:style w:styleId="Style_33" w:type="paragraph">
    <w:name w:val="Contents 7"/>
    <w:link w:val="Style_33_ch"/>
    <w:rPr>
      <w:sz w:val="28"/>
    </w:rPr>
  </w:style>
  <w:style w:styleId="Style_33_ch" w:type="character">
    <w:name w:val="Contents 7"/>
    <w:link w:val="Style_33"/>
    <w:rPr>
      <w:sz w:val="28"/>
    </w:rPr>
  </w:style>
  <w:style w:styleId="Style_34" w:type="paragraph">
    <w:name w:val="Заголовок 5 Знак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2"/>
    </w:rPr>
  </w:style>
  <w:style w:styleId="Style_34_ch" w:type="character">
    <w:name w:val="Заголовок 5 Знак1"/>
    <w:link w:val="Style_34"/>
    <w:rPr>
      <w:rFonts w:ascii="XO Thames" w:hAnsi="XO Thames"/>
      <w:b w:val="1"/>
      <w:color w:val="000000"/>
      <w:spacing w:val="0"/>
      <w:sz w:val="22"/>
    </w:rPr>
  </w:style>
  <w:style w:styleId="Style_35" w:type="paragraph">
    <w:name w:val="toc 3"/>
    <w:next w:val="Style_1"/>
    <w:link w:val="Style_35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3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Heading 11"/>
    <w:link w:val="Style_36_ch"/>
    <w:rPr>
      <w:b w:val="1"/>
      <w:sz w:val="32"/>
    </w:rPr>
  </w:style>
  <w:style w:styleId="Style_36_ch" w:type="character">
    <w:name w:val="Heading 11"/>
    <w:link w:val="Style_36"/>
    <w:rPr>
      <w:b w:val="1"/>
      <w:sz w:val="32"/>
    </w:rPr>
  </w:style>
  <w:style w:styleId="Style_37" w:type="paragraph">
    <w:name w:val="Оглавление 6 Знак1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Оглавление 6 Знак1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index heading"/>
    <w:basedOn w:val="Style_1"/>
    <w:link w:val="Style_38_ch"/>
  </w:style>
  <w:style w:styleId="Style_38_ch" w:type="character">
    <w:name w:val="index heading"/>
    <w:basedOn w:val="Style_1_ch"/>
    <w:link w:val="Style_38"/>
  </w:style>
  <w:style w:styleId="Style_39" w:type="paragraph">
    <w:name w:val="Footnote11"/>
    <w:link w:val="Style_3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9_ch" w:type="character">
    <w:name w:val="Footnote11"/>
    <w:link w:val="Style_39"/>
    <w:rPr>
      <w:rFonts w:ascii="XO Thames" w:hAnsi="XO Thames"/>
      <w:color w:val="000000"/>
      <w:spacing w:val="0"/>
      <w:sz w:val="22"/>
    </w:rPr>
  </w:style>
  <w:style w:styleId="Style_40" w:type="paragraph">
    <w:name w:val="Гиперссылка11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FF"/>
      <w:spacing w:val="0"/>
      <w:sz w:val="24"/>
      <w:u w:val="single"/>
    </w:rPr>
  </w:style>
  <w:style w:styleId="Style_40_ch" w:type="character">
    <w:name w:val="Гиперссылка11"/>
    <w:link w:val="Style_40"/>
    <w:rPr>
      <w:rFonts w:ascii="XO Thames" w:hAnsi="XO Thames"/>
      <w:color w:val="0000FF"/>
      <w:spacing w:val="0"/>
      <w:sz w:val="24"/>
      <w:u w:val="single"/>
    </w:rPr>
  </w:style>
  <w:style w:styleId="Style_41" w:type="paragraph">
    <w:name w:val="List1"/>
    <w:basedOn w:val="Style_26"/>
    <w:link w:val="Style_41_ch"/>
  </w:style>
  <w:style w:styleId="Style_41_ch" w:type="character">
    <w:name w:val="List1"/>
    <w:basedOn w:val="Style_26_ch"/>
    <w:link w:val="Style_41"/>
  </w:style>
  <w:style w:styleId="Style_42" w:type="paragraph">
    <w:name w:val="Заголовок 1 Знак1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32"/>
    </w:rPr>
  </w:style>
  <w:style w:styleId="Style_42_ch" w:type="character">
    <w:name w:val="Заголовок 1 Знак1"/>
    <w:link w:val="Style_42"/>
    <w:rPr>
      <w:rFonts w:ascii="XO Thames" w:hAnsi="XO Thames"/>
      <w:b w:val="1"/>
      <w:color w:val="000000"/>
      <w:spacing w:val="0"/>
      <w:sz w:val="32"/>
    </w:rPr>
  </w:style>
  <w:style w:styleId="Style_43" w:type="paragraph">
    <w:name w:val="Оглавление 4 Знак1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Оглавление 4 Знак1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1"/>
    <w:link w:val="Style_44_ch"/>
    <w:rPr>
      <w:b w:val="1"/>
      <w:sz w:val="28"/>
    </w:rPr>
  </w:style>
  <w:style w:styleId="Style_44_ch" w:type="character">
    <w:name w:val="Contents 1"/>
    <w:link w:val="Style_44"/>
    <w:rPr>
      <w:b w:val="1"/>
      <w:sz w:val="28"/>
    </w:rPr>
  </w:style>
  <w:style w:styleId="Style_45" w:type="paragraph">
    <w:name w:val="heading 5"/>
    <w:next w:val="Style_1"/>
    <w:link w:val="Style_4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5_ch" w:type="character">
    <w:name w:val="heading 5"/>
    <w:link w:val="Style_45"/>
    <w:rPr>
      <w:rFonts w:ascii="XO Thames" w:hAnsi="XO Thames"/>
      <w:b w:val="1"/>
      <w:color w:val="000000"/>
      <w:spacing w:val="0"/>
      <w:sz w:val="22"/>
    </w:rPr>
  </w:style>
  <w:style w:styleId="Style_46" w:type="paragraph">
    <w:name w:val="Footnote2"/>
    <w:link w:val="Style_4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6_ch" w:type="character">
    <w:name w:val="Footnote2"/>
    <w:link w:val="Style_46"/>
    <w:rPr>
      <w:rFonts w:ascii="XO Thames" w:hAnsi="XO Thames"/>
      <w:color w:val="000000"/>
      <w:spacing w:val="0"/>
      <w:sz w:val="22"/>
    </w:rPr>
  </w:style>
  <w:style w:styleId="Style_47" w:type="paragraph">
    <w:name w:val="Оглавление 8 Знак1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Оглавление 8 Знак1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Оглавление 7 Знак1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Оглавление 7 Знак1"/>
    <w:link w:val="Style_48"/>
    <w:rPr>
      <w:rFonts w:ascii="XO Thames" w:hAnsi="XO Thames"/>
      <w:color w:val="000000"/>
      <w:spacing w:val="0"/>
      <w:sz w:val="28"/>
    </w:rPr>
  </w:style>
  <w:style w:styleId="Style_3" w:type="paragraph">
    <w:name w:val="heading 1"/>
    <w:next w:val="Style_1"/>
    <w:link w:val="Style_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_ch" w:type="character">
    <w:name w:val="heading 1"/>
    <w:link w:val="Style_3"/>
    <w:rPr>
      <w:rFonts w:ascii="XO Thames" w:hAnsi="XO Thames"/>
      <w:b w:val="1"/>
      <w:color w:val="000000"/>
      <w:spacing w:val="0"/>
      <w:sz w:val="32"/>
    </w:rPr>
  </w:style>
  <w:style w:styleId="Style_49" w:type="paragraph">
    <w:name w:val="Оглавление 3 Знак1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Оглавление 3 Знак1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Caption1"/>
    <w:link w:val="Style_50_ch"/>
    <w:rPr>
      <w:i w:val="1"/>
    </w:rPr>
  </w:style>
  <w:style w:styleId="Style_50_ch" w:type="character">
    <w:name w:val="Caption1"/>
    <w:link w:val="Style_50"/>
    <w:rPr>
      <w:i w:val="1"/>
    </w:rPr>
  </w:style>
  <w:style w:styleId="Style_51" w:type="paragraph">
    <w:name w:val="List"/>
    <w:basedOn w:val="Style_20"/>
    <w:link w:val="Style_51_ch"/>
  </w:style>
  <w:style w:styleId="Style_51_ch" w:type="character">
    <w:name w:val="List"/>
    <w:basedOn w:val="Style_20_ch"/>
    <w:link w:val="Style_51"/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ind w:firstLine="851" w:left="0"/>
      <w:jc w:val="both"/>
    </w:pPr>
    <w:rPr>
      <w:rFonts w:ascii="XO Thames" w:hAnsi="XO Thames"/>
      <w:sz w:val="22"/>
    </w:rPr>
  </w:style>
  <w:style w:styleId="Style_53_ch" w:type="character">
    <w:name w:val="Footnote"/>
    <w:link w:val="Style_53"/>
    <w:rPr>
      <w:rFonts w:ascii="XO Thames" w:hAnsi="XO Thames"/>
      <w:sz w:val="22"/>
    </w:rPr>
  </w:style>
  <w:style w:styleId="Style_54" w:type="paragraph">
    <w:name w:val="toc 1"/>
    <w:next w:val="Style_1"/>
    <w:link w:val="Style_5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4_ch" w:type="character">
    <w:name w:val="toc 1"/>
    <w:link w:val="Style_54"/>
    <w:rPr>
      <w:rFonts w:ascii="XO Thames" w:hAnsi="XO Thames"/>
      <w:b w:val="1"/>
      <w:color w:val="000000"/>
      <w:spacing w:val="0"/>
      <w:sz w:val="28"/>
    </w:rPr>
  </w:style>
  <w:style w:styleId="Style_55" w:type="paragraph">
    <w:name w:val="Header and Footer"/>
    <w:link w:val="Style_55_ch"/>
    <w:pPr>
      <w:spacing w:line="240" w:lineRule="auto"/>
      <w:ind/>
      <w:jc w:val="both"/>
    </w:pPr>
    <w:rPr>
      <w:rFonts w:ascii="XO Thames" w:hAnsi="XO Thames"/>
      <w:sz w:val="28"/>
    </w:rPr>
  </w:style>
  <w:style w:styleId="Style_55_ch" w:type="character">
    <w:name w:val="Header and Footer"/>
    <w:link w:val="Style_55"/>
    <w:rPr>
      <w:rFonts w:ascii="XO Thames" w:hAnsi="XO Thames"/>
      <w:sz w:val="28"/>
    </w:rPr>
  </w:style>
  <w:style w:styleId="Style_56" w:type="paragraph">
    <w:name w:val="Основной шрифт абзаца1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4"/>
    </w:rPr>
  </w:style>
  <w:style w:styleId="Style_56_ch" w:type="character">
    <w:name w:val="Основной шрифт абзаца11"/>
    <w:link w:val="Style_56"/>
    <w:rPr>
      <w:rFonts w:ascii="XO Thames" w:hAnsi="XO Thames"/>
      <w:color w:val="000000"/>
      <w:spacing w:val="0"/>
      <w:sz w:val="24"/>
    </w:rPr>
  </w:style>
  <w:style w:styleId="Style_57" w:type="paragraph">
    <w:name w:val="toc 9"/>
    <w:next w:val="Style_1"/>
    <w:link w:val="Style_5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9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Заголовок таблицы1"/>
    <w:basedOn w:val="Style_23"/>
    <w:link w:val="Style_58_ch"/>
    <w:pPr>
      <w:ind/>
      <w:jc w:val="center"/>
    </w:pPr>
    <w:rPr>
      <w:b w:val="1"/>
    </w:rPr>
  </w:style>
  <w:style w:styleId="Style_58_ch" w:type="character">
    <w:name w:val="Заголовок таблицы1"/>
    <w:basedOn w:val="Style_23_ch"/>
    <w:link w:val="Style_58"/>
    <w:rPr>
      <w:b w:val="1"/>
    </w:rPr>
  </w:style>
  <w:style w:styleId="Style_59" w:type="paragraph">
    <w:name w:val="Heading 31"/>
    <w:link w:val="Style_59_ch"/>
    <w:rPr>
      <w:b w:val="1"/>
      <w:sz w:val="26"/>
    </w:rPr>
  </w:style>
  <w:style w:styleId="Style_59_ch" w:type="character">
    <w:name w:val="Heading 31"/>
    <w:link w:val="Style_59"/>
    <w:rPr>
      <w:b w:val="1"/>
      <w:sz w:val="26"/>
    </w:rPr>
  </w:style>
  <w:style w:styleId="Style_60" w:type="paragraph">
    <w:name w:val="Contents 9"/>
    <w:link w:val="Style_60_ch"/>
    <w:rPr>
      <w:sz w:val="28"/>
    </w:rPr>
  </w:style>
  <w:style w:styleId="Style_60_ch" w:type="character">
    <w:name w:val="Contents 9"/>
    <w:link w:val="Style_60"/>
    <w:rPr>
      <w:sz w:val="28"/>
    </w:rPr>
  </w:style>
  <w:style w:styleId="Style_61" w:type="paragraph">
    <w:name w:val="Оглавление 1 Знак1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Оглавление 1 Знак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Contents 4"/>
    <w:link w:val="Style_62_ch"/>
    <w:rPr>
      <w:sz w:val="28"/>
    </w:rPr>
  </w:style>
  <w:style w:styleId="Style_62_ch" w:type="character">
    <w:name w:val="Contents 4"/>
    <w:link w:val="Style_62"/>
    <w:rPr>
      <w:sz w:val="28"/>
    </w:rPr>
  </w:style>
  <w:style w:styleId="Style_63" w:type="paragraph">
    <w:name w:val="toc 8"/>
    <w:next w:val="Style_1"/>
    <w:link w:val="Style_6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toc 8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Подзаголовок Знак1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64_ch" w:type="character">
    <w:name w:val="Подзаголовок Знак1"/>
    <w:link w:val="Style_64"/>
    <w:rPr>
      <w:rFonts w:ascii="XO Thames" w:hAnsi="XO Thames"/>
      <w:i w:val="1"/>
      <w:color w:val="000000"/>
      <w:spacing w:val="0"/>
      <w:sz w:val="24"/>
    </w:rPr>
  </w:style>
  <w:style w:styleId="Style_65" w:type="paragraph">
    <w:name w:val="Header and Footer11"/>
    <w:link w:val="Style_65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65_ch" w:type="character">
    <w:name w:val="Header and Footer11"/>
    <w:link w:val="Style_65"/>
    <w:rPr>
      <w:rFonts w:ascii="XO Thames" w:hAnsi="XO Thames"/>
      <w:color w:val="000000"/>
      <w:spacing w:val="0"/>
      <w:sz w:val="28"/>
    </w:rPr>
  </w:style>
  <w:style w:styleId="Style_2" w:type="paragraph">
    <w:name w:val="header"/>
    <w:basedOn w:val="Style_65"/>
    <w:link w:val="Style_2_ch"/>
  </w:style>
  <w:style w:styleId="Style_2_ch" w:type="character">
    <w:name w:val="header"/>
    <w:basedOn w:val="Style_65_ch"/>
    <w:link w:val="Style_2"/>
  </w:style>
  <w:style w:styleId="Style_66" w:type="paragraph">
    <w:name w:val="Оглавление 9 Знак1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Оглавление 9 Знак1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caption"/>
    <w:basedOn w:val="Style_1"/>
    <w:link w:val="Style_67_ch"/>
    <w:pPr>
      <w:spacing w:after="120" w:before="120"/>
      <w:ind/>
    </w:pPr>
    <w:rPr>
      <w:i w:val="1"/>
    </w:rPr>
  </w:style>
  <w:style w:styleId="Style_67_ch" w:type="character">
    <w:name w:val="caption"/>
    <w:basedOn w:val="Style_1_ch"/>
    <w:link w:val="Style_67"/>
    <w:rPr>
      <w:i w:val="1"/>
    </w:rPr>
  </w:style>
  <w:style w:styleId="Style_68" w:type="paragraph">
    <w:name w:val="toc 5"/>
    <w:next w:val="Style_1"/>
    <w:link w:val="Style_68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toc 5"/>
    <w:link w:val="Style_68"/>
    <w:rPr>
      <w:rFonts w:ascii="XO Thames" w:hAnsi="XO Thames"/>
      <w:color w:val="000000"/>
      <w:spacing w:val="0"/>
      <w:sz w:val="28"/>
    </w:rPr>
  </w:style>
  <w:style w:styleId="Style_20" w:type="paragraph">
    <w:name w:val="Body Text"/>
    <w:basedOn w:val="Style_1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1_ch"/>
    <w:link w:val="Style_20"/>
  </w:style>
  <w:style w:styleId="Style_69" w:type="paragraph">
    <w:name w:val="Heading 21"/>
    <w:link w:val="Style_69_ch"/>
    <w:rPr>
      <w:b w:val="1"/>
      <w:sz w:val="28"/>
    </w:rPr>
  </w:style>
  <w:style w:styleId="Style_69_ch" w:type="character">
    <w:name w:val="Heading 21"/>
    <w:link w:val="Style_69"/>
    <w:rPr>
      <w:b w:val="1"/>
      <w:sz w:val="28"/>
    </w:rPr>
  </w:style>
  <w:style w:styleId="Style_70" w:type="paragraph">
    <w:name w:val="Endnote2"/>
    <w:link w:val="Style_7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0_ch" w:type="character">
    <w:name w:val="Endnote2"/>
    <w:link w:val="Style_70"/>
    <w:rPr>
      <w:rFonts w:ascii="XO Thames" w:hAnsi="XO Thames"/>
      <w:color w:val="000000"/>
      <w:spacing w:val="0"/>
      <w:sz w:val="22"/>
    </w:rPr>
  </w:style>
  <w:style w:styleId="Style_71" w:type="paragraph">
    <w:name w:val="Contents 8"/>
    <w:link w:val="Style_71_ch"/>
    <w:rPr>
      <w:sz w:val="28"/>
    </w:rPr>
  </w:style>
  <w:style w:styleId="Style_71_ch" w:type="character">
    <w:name w:val="Contents 8"/>
    <w:link w:val="Style_71"/>
    <w:rPr>
      <w:sz w:val="28"/>
    </w:rPr>
  </w:style>
  <w:style w:styleId="Style_72" w:type="paragraph">
    <w:name w:val="Endnote11"/>
    <w:link w:val="Style_7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2_ch" w:type="character">
    <w:name w:val="Endnote11"/>
    <w:link w:val="Style_72"/>
    <w:rPr>
      <w:rFonts w:ascii="XO Thames" w:hAnsi="XO Thames"/>
      <w:color w:val="000000"/>
      <w:spacing w:val="0"/>
      <w:sz w:val="22"/>
    </w:rPr>
  </w:style>
  <w:style w:styleId="Style_73" w:type="paragraph">
    <w:name w:val="Содержимое врезки"/>
    <w:basedOn w:val="Style_1"/>
    <w:link w:val="Style_73_ch"/>
  </w:style>
  <w:style w:styleId="Style_73_ch" w:type="character">
    <w:name w:val="Содержимое врезки"/>
    <w:basedOn w:val="Style_1_ch"/>
    <w:link w:val="Style_73"/>
  </w:style>
  <w:style w:styleId="Style_74" w:type="paragraph">
    <w:name w:val="Header1"/>
    <w:basedOn w:val="Style_65"/>
    <w:link w:val="Style_74_ch"/>
  </w:style>
  <w:style w:styleId="Style_74_ch" w:type="character">
    <w:name w:val="Header1"/>
    <w:basedOn w:val="Style_65_ch"/>
    <w:link w:val="Style_74"/>
  </w:style>
  <w:style w:styleId="Style_75" w:type="paragraph">
    <w:name w:val="Оглавление 5 Знак1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Оглавление 5 Знак1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Subtitle"/>
    <w:next w:val="Style_1"/>
    <w:link w:val="Style_76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76_ch" w:type="character">
    <w:name w:val="Subtitle"/>
    <w:link w:val="Style_76"/>
    <w:rPr>
      <w:rFonts w:ascii="XO Thames" w:hAnsi="XO Thames"/>
      <w:i w:val="1"/>
      <w:color w:val="000000"/>
      <w:spacing w:val="0"/>
      <w:sz w:val="24"/>
    </w:rPr>
  </w:style>
  <w:style w:styleId="Style_77" w:type="paragraph">
    <w:name w:val="Оглавление 2 Знак1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Оглавление 2 Знак1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Title1"/>
    <w:link w:val="Style_78_ch"/>
    <w:rPr>
      <w:b w:val="1"/>
      <w:caps w:val="1"/>
      <w:sz w:val="40"/>
    </w:rPr>
  </w:style>
  <w:style w:styleId="Style_78_ch" w:type="character">
    <w:name w:val="Title1"/>
    <w:link w:val="Style_78"/>
    <w:rPr>
      <w:b w:val="1"/>
      <w:caps w:val="1"/>
      <w:sz w:val="40"/>
    </w:rPr>
  </w:style>
  <w:style w:styleId="Style_79" w:type="paragraph">
    <w:name w:val="Title"/>
    <w:next w:val="Style_20"/>
    <w:link w:val="Style_79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9_ch" w:type="character">
    <w:name w:val="Title"/>
    <w:link w:val="Style_79"/>
    <w:rPr>
      <w:rFonts w:ascii="XO Thames" w:hAnsi="XO Thames"/>
      <w:b w:val="1"/>
      <w:caps w:val="1"/>
      <w:color w:val="000000"/>
      <w:spacing w:val="0"/>
      <w:sz w:val="40"/>
    </w:rPr>
  </w:style>
  <w:style w:styleId="Style_80" w:type="paragraph">
    <w:name w:val="heading 4"/>
    <w:next w:val="Style_1"/>
    <w:link w:val="Style_8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0_ch" w:type="character">
    <w:name w:val="heading 4"/>
    <w:link w:val="Style_80"/>
    <w:rPr>
      <w:rFonts w:ascii="XO Thames" w:hAnsi="XO Thames"/>
      <w:b w:val="1"/>
      <w:color w:val="000000"/>
      <w:spacing w:val="0"/>
      <w:sz w:val="24"/>
    </w:rPr>
  </w:style>
  <w:style w:styleId="Style_81" w:type="paragraph">
    <w:name w:val="Contents 3"/>
    <w:link w:val="Style_81_ch"/>
    <w:rPr>
      <w:sz w:val="28"/>
    </w:rPr>
  </w:style>
  <w:style w:styleId="Style_81_ch" w:type="character">
    <w:name w:val="Contents 3"/>
    <w:link w:val="Style_81"/>
    <w:rPr>
      <w:sz w:val="28"/>
    </w:rPr>
  </w:style>
  <w:style w:styleId="Style_82" w:type="paragraph">
    <w:name w:val="heading 2"/>
    <w:next w:val="Style_1"/>
    <w:link w:val="Style_8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2_ch" w:type="character">
    <w:name w:val="heading 2"/>
    <w:link w:val="Style_82"/>
    <w:rPr>
      <w:rFonts w:ascii="XO Thames" w:hAnsi="XO Thames"/>
      <w:b w:val="1"/>
      <w:color w:val="000000"/>
      <w:spacing w:val="0"/>
      <w:sz w:val="28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LC-AV">
      <a:dk1>
        <a:srgbClr val="000000"/>
      </a:dk1>
      <a:lt1>
        <a:srgbClr val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2025-06-10T04:32:31Z</dcterms:modified>
</cp:coreProperties>
</file>