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52046" w14:textId="6174FDFD" w:rsidR="00EF6EE7" w:rsidRDefault="00EF6EE7" w:rsidP="00A75300">
      <w:pPr>
        <w:spacing w:before="120" w:after="120" w:line="240" w:lineRule="auto"/>
        <w:ind w:left="0" w:right="0" w:firstLine="0"/>
        <w:jc w:val="center"/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</w:pPr>
      <w:r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>ПРИМЕР РАСЧЕТА ОБЪЕМА БЮДЖЕТНЫХ АССИГНОВАНИЙ</w:t>
      </w:r>
      <w:r w:rsidR="00F364C4"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 xml:space="preserve"> </w:t>
      </w:r>
    </w:p>
    <w:p w14:paraId="2EEB36CD" w14:textId="77777777" w:rsidR="00EF6EE7" w:rsidRDefault="00EF6EE7" w:rsidP="00A75300">
      <w:pPr>
        <w:spacing w:before="120" w:after="120" w:line="240" w:lineRule="auto"/>
        <w:ind w:left="-5" w:right="0" w:firstLine="714"/>
        <w:rPr>
          <w:sz w:val="24"/>
          <w:szCs w:val="24"/>
          <w:lang w:val="ru-RU"/>
        </w:rPr>
      </w:pPr>
    </w:p>
    <w:p w14:paraId="563E14D9" w14:textId="57134996" w:rsidR="00FA37C6" w:rsidRDefault="00FA37C6" w:rsidP="00A75300">
      <w:pPr>
        <w:spacing w:before="120" w:after="120" w:line="240" w:lineRule="auto"/>
        <w:ind w:left="-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Бюджет Региональной программы определяется на осно</w:t>
      </w:r>
      <w:bookmarkStart w:id="0" w:name="_GoBack"/>
      <w:bookmarkEnd w:id="0"/>
      <w:r w:rsidRPr="0035651E">
        <w:rPr>
          <w:sz w:val="24"/>
          <w:szCs w:val="24"/>
          <w:lang w:val="ru-RU"/>
        </w:rPr>
        <w:t>вании сформированного перечня мероприятий</w:t>
      </w:r>
      <w:r w:rsidR="009C5146">
        <w:rPr>
          <w:sz w:val="24"/>
          <w:szCs w:val="24"/>
          <w:lang w:val="ru-RU"/>
        </w:rPr>
        <w:t xml:space="preserve"> (результатов)</w:t>
      </w:r>
      <w:r w:rsidRPr="0035651E">
        <w:rPr>
          <w:sz w:val="24"/>
          <w:szCs w:val="24"/>
          <w:lang w:val="ru-RU"/>
        </w:rPr>
        <w:t xml:space="preserve"> государственной поддержки экспортеров и экспортно ориентированных предприятий с учетом рекомендаций, предусмотренных </w:t>
      </w:r>
      <w:r w:rsidR="00861FEE">
        <w:rPr>
          <w:sz w:val="24"/>
          <w:szCs w:val="24"/>
          <w:lang w:val="ru-RU"/>
        </w:rPr>
        <w:t>С</w:t>
      </w:r>
      <w:r w:rsidRPr="0035651E">
        <w:rPr>
          <w:sz w:val="24"/>
          <w:szCs w:val="24"/>
          <w:lang w:val="ru-RU"/>
        </w:rPr>
        <w:t xml:space="preserve">тандартом 2.0 в разделе </w:t>
      </w:r>
      <w:r w:rsidRPr="0035651E">
        <w:rPr>
          <w:sz w:val="24"/>
          <w:szCs w:val="24"/>
        </w:rPr>
        <w:t>V</w:t>
      </w:r>
      <w:r w:rsidRPr="0035651E">
        <w:rPr>
          <w:sz w:val="24"/>
          <w:szCs w:val="24"/>
          <w:lang w:val="ru-RU"/>
        </w:rPr>
        <w:t xml:space="preserve"> «Ресурсное обеспечение субъекта Российской Федерации на развитие экспортной деятельности и стратегические ориентиры до 2030 года». </w:t>
      </w:r>
    </w:p>
    <w:p w14:paraId="744FF30A" w14:textId="1031E3E3" w:rsidR="000E3454" w:rsidRPr="009C5146" w:rsidRDefault="000E3454" w:rsidP="00A75300">
      <w:pPr>
        <w:pStyle w:val="1"/>
        <w:spacing w:before="120" w:after="120" w:line="240" w:lineRule="auto"/>
        <w:ind w:left="-5"/>
        <w:rPr>
          <w:b w:val="0"/>
          <w:bCs/>
          <w:i/>
          <w:iCs/>
          <w:sz w:val="24"/>
          <w:szCs w:val="24"/>
          <w:lang w:val="ru-RU"/>
        </w:rPr>
      </w:pPr>
      <w:r w:rsidRPr="009C5146">
        <w:rPr>
          <w:b w:val="0"/>
          <w:bCs/>
          <w:i/>
          <w:iCs/>
          <w:sz w:val="24"/>
          <w:szCs w:val="24"/>
          <w:lang w:val="ru-RU"/>
        </w:rPr>
        <w:t xml:space="preserve">Формирование перечня мероприятий </w:t>
      </w:r>
      <w:r w:rsidR="00DB61E6">
        <w:rPr>
          <w:b w:val="0"/>
          <w:bCs/>
          <w:i/>
          <w:iCs/>
          <w:sz w:val="24"/>
          <w:szCs w:val="24"/>
          <w:lang w:val="ru-RU"/>
        </w:rPr>
        <w:t>(результатов)</w:t>
      </w:r>
    </w:p>
    <w:p w14:paraId="619F6F2C" w14:textId="477B2FBC" w:rsidR="000E3454" w:rsidRPr="0035651E" w:rsidRDefault="000E3454" w:rsidP="00A75300">
      <w:pPr>
        <w:spacing w:before="120" w:after="120" w:line="240" w:lineRule="auto"/>
        <w:ind w:left="-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Исходя из рассчитанных</w:t>
      </w:r>
      <w:r w:rsidRPr="0035651E">
        <w:rPr>
          <w:b/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>значений показателей по объему ННЭ в разрезе приоритетных отраслей, в каждой отрасли выделяются крупные предприятия, от которых зависит достижение данного показателя. За каждым предприятием</w:t>
      </w:r>
      <w:r w:rsidR="00114ABB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 xml:space="preserve">по согласованию с ним закрепляется </w:t>
      </w:r>
      <w:r w:rsidR="00861FEE">
        <w:rPr>
          <w:sz w:val="24"/>
          <w:szCs w:val="24"/>
          <w:lang w:val="ru-RU"/>
        </w:rPr>
        <w:t>значение показателя</w:t>
      </w:r>
      <w:r w:rsidRPr="0035651E">
        <w:rPr>
          <w:sz w:val="24"/>
          <w:szCs w:val="24"/>
          <w:lang w:val="ru-RU"/>
        </w:rPr>
        <w:t xml:space="preserve">, </w:t>
      </w:r>
      <w:r w:rsidR="00861FEE">
        <w:rPr>
          <w:sz w:val="24"/>
          <w:szCs w:val="24"/>
          <w:lang w:val="ru-RU"/>
        </w:rPr>
        <w:t>достижение</w:t>
      </w:r>
      <w:r w:rsidRPr="0035651E">
        <w:rPr>
          <w:sz w:val="24"/>
          <w:szCs w:val="24"/>
          <w:lang w:val="ru-RU"/>
        </w:rPr>
        <w:t xml:space="preserve"> которого позволит обеспечить достижение основного целевого </w:t>
      </w:r>
      <w:r w:rsidRPr="00E5341B">
        <w:rPr>
          <w:sz w:val="24"/>
          <w:szCs w:val="24"/>
          <w:lang w:val="ru-RU"/>
        </w:rPr>
        <w:t>показателя</w:t>
      </w:r>
      <w:r w:rsidR="00EB751F" w:rsidRPr="008925F0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>Региональной программы</w:t>
      </w:r>
      <w:r w:rsidR="00BF7515">
        <w:rPr>
          <w:sz w:val="24"/>
          <w:szCs w:val="24"/>
          <w:lang w:val="ru-RU"/>
        </w:rPr>
        <w:t>,</w:t>
      </w:r>
      <w:r w:rsidRPr="0035651E">
        <w:rPr>
          <w:sz w:val="24"/>
          <w:szCs w:val="24"/>
          <w:lang w:val="ru-RU"/>
        </w:rPr>
        <w:t xml:space="preserve"> и определяется</w:t>
      </w:r>
      <w:r w:rsidR="009C5146">
        <w:rPr>
          <w:sz w:val="24"/>
          <w:szCs w:val="24"/>
          <w:lang w:val="ru-RU"/>
        </w:rPr>
        <w:t> </w:t>
      </w:r>
      <w:r w:rsidRPr="0035651E">
        <w:rPr>
          <w:sz w:val="24"/>
          <w:szCs w:val="24"/>
          <w:lang w:val="ru-RU"/>
        </w:rPr>
        <w:t xml:space="preserve">мера </w:t>
      </w:r>
      <w:r w:rsidRPr="0035651E">
        <w:rPr>
          <w:sz w:val="24"/>
          <w:szCs w:val="24"/>
          <w:lang w:val="ru-RU"/>
        </w:rPr>
        <w:tab/>
        <w:t xml:space="preserve">государственной </w:t>
      </w:r>
      <w:r w:rsidRPr="0035651E">
        <w:rPr>
          <w:sz w:val="24"/>
          <w:szCs w:val="24"/>
          <w:lang w:val="ru-RU"/>
        </w:rPr>
        <w:tab/>
        <w:t>поддержки</w:t>
      </w:r>
      <w:r w:rsidR="00114ABB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 xml:space="preserve">предприятия (при необходимости). С целью обеспечения достижения крупными предприятиями взятых на себя обязательств по </w:t>
      </w:r>
      <w:r w:rsidR="00D35B91" w:rsidRPr="0035651E">
        <w:rPr>
          <w:sz w:val="24"/>
          <w:szCs w:val="24"/>
          <w:lang w:val="ru-RU"/>
        </w:rPr>
        <w:t xml:space="preserve">достижению </w:t>
      </w:r>
      <w:r w:rsidR="00D35B91">
        <w:rPr>
          <w:sz w:val="24"/>
          <w:szCs w:val="24"/>
          <w:lang w:val="ru-RU"/>
        </w:rPr>
        <w:t>показателя</w:t>
      </w:r>
      <w:r w:rsidR="00751AF8">
        <w:rPr>
          <w:sz w:val="24"/>
          <w:szCs w:val="24"/>
          <w:lang w:val="ru-RU"/>
        </w:rPr>
        <w:t xml:space="preserve"> по росту ННЭ</w:t>
      </w:r>
      <w:r w:rsidRPr="0035651E">
        <w:rPr>
          <w:sz w:val="24"/>
          <w:szCs w:val="24"/>
          <w:lang w:val="ru-RU"/>
        </w:rPr>
        <w:t xml:space="preserve"> в рамках Региональной программы формируется перечень мероприятий </w:t>
      </w:r>
      <w:r w:rsidR="009C5146">
        <w:rPr>
          <w:sz w:val="24"/>
          <w:szCs w:val="24"/>
          <w:lang w:val="ru-RU"/>
        </w:rPr>
        <w:t xml:space="preserve">(результатов) </w:t>
      </w:r>
      <w:r w:rsidRPr="0035651E">
        <w:rPr>
          <w:sz w:val="24"/>
          <w:szCs w:val="24"/>
          <w:lang w:val="ru-RU"/>
        </w:rPr>
        <w:t>поддержки экспортной деятельности или реализации инвестиционных проектов, направлен</w:t>
      </w:r>
      <w:r w:rsidR="00BF7515">
        <w:rPr>
          <w:sz w:val="24"/>
          <w:szCs w:val="24"/>
          <w:lang w:val="ru-RU"/>
        </w:rPr>
        <w:t>ных</w:t>
      </w:r>
      <w:r w:rsidRPr="0035651E">
        <w:rPr>
          <w:sz w:val="24"/>
          <w:szCs w:val="24"/>
          <w:lang w:val="ru-RU"/>
        </w:rPr>
        <w:t xml:space="preserve"> на увеличение ННЭ. </w:t>
      </w:r>
    </w:p>
    <w:p w14:paraId="3C78D336" w14:textId="598311A8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Отдельно рассматриваются меры поддержки экспортеров и экспортно ориентированных предприятий из числа МСП, </w:t>
      </w:r>
      <w:r w:rsidR="00BF7515">
        <w:rPr>
          <w:sz w:val="24"/>
          <w:szCs w:val="24"/>
          <w:lang w:val="ru-RU"/>
        </w:rPr>
        <w:t>с учетом</w:t>
      </w:r>
      <w:r w:rsidRPr="0035651E">
        <w:rPr>
          <w:sz w:val="24"/>
          <w:szCs w:val="24"/>
          <w:lang w:val="ru-RU"/>
        </w:rPr>
        <w:t xml:space="preserve"> существующи</w:t>
      </w:r>
      <w:r w:rsidR="00BF7515">
        <w:rPr>
          <w:sz w:val="24"/>
          <w:szCs w:val="24"/>
          <w:lang w:val="ru-RU"/>
        </w:rPr>
        <w:t>х</w:t>
      </w:r>
      <w:r w:rsidRPr="0035651E">
        <w:rPr>
          <w:sz w:val="24"/>
          <w:szCs w:val="24"/>
          <w:lang w:val="ru-RU"/>
        </w:rPr>
        <w:t xml:space="preserve"> на региональном и федеральном уровне мер поддержки субъектов МСП, оказываемы</w:t>
      </w:r>
      <w:r w:rsidR="00BF7515">
        <w:rPr>
          <w:sz w:val="24"/>
          <w:szCs w:val="24"/>
          <w:lang w:val="ru-RU"/>
        </w:rPr>
        <w:t>х</w:t>
      </w:r>
      <w:r w:rsidRPr="0035651E">
        <w:rPr>
          <w:sz w:val="24"/>
          <w:szCs w:val="24"/>
          <w:lang w:val="ru-RU"/>
        </w:rPr>
        <w:t xml:space="preserve"> организациями инфраструктуры поддержки МСП. Поддержка МСП предусматривается по двум направлени</w:t>
      </w:r>
      <w:r w:rsidR="00BF7515">
        <w:rPr>
          <w:sz w:val="24"/>
          <w:szCs w:val="24"/>
          <w:lang w:val="ru-RU"/>
        </w:rPr>
        <w:t>я</w:t>
      </w:r>
      <w:r w:rsidRPr="0035651E">
        <w:rPr>
          <w:sz w:val="24"/>
          <w:szCs w:val="24"/>
          <w:lang w:val="ru-RU"/>
        </w:rPr>
        <w:t xml:space="preserve">м – поддержка существующих экспортеров и вывод новых компаний МСП на экспорт. </w:t>
      </w:r>
    </w:p>
    <w:p w14:paraId="024B8B7F" w14:textId="14494B67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Для поддержки экспортеров рекомендуется предусмотреть такие мероприятия, как организация участия в бизнес-миссиях, выставочно-ярм</w:t>
      </w:r>
      <w:r w:rsidR="0036211C">
        <w:rPr>
          <w:sz w:val="24"/>
          <w:szCs w:val="24"/>
          <w:lang w:val="ru-RU"/>
        </w:rPr>
        <w:t>а</w:t>
      </w:r>
      <w:r w:rsidRPr="0035651E">
        <w:rPr>
          <w:sz w:val="24"/>
          <w:szCs w:val="24"/>
          <w:lang w:val="ru-RU"/>
        </w:rPr>
        <w:t xml:space="preserve">рочных мероприятиях, организация поддержки в продвижении продукции посредством разработки отраслевого бренда на зарубежных рынках, </w:t>
      </w:r>
      <w:r w:rsidR="00BF7515">
        <w:rPr>
          <w:sz w:val="24"/>
          <w:szCs w:val="24"/>
          <w:lang w:val="ru-RU"/>
        </w:rPr>
        <w:t xml:space="preserve">а также в </w:t>
      </w:r>
      <w:r w:rsidRPr="0035651E">
        <w:rPr>
          <w:sz w:val="24"/>
          <w:szCs w:val="24"/>
          <w:lang w:val="ru-RU"/>
        </w:rPr>
        <w:t>продвижении экспорта продукции через каналы электронной торговли</w:t>
      </w:r>
      <w:r w:rsidR="00BF7515">
        <w:rPr>
          <w:sz w:val="24"/>
          <w:szCs w:val="24"/>
          <w:lang w:val="ru-RU"/>
        </w:rPr>
        <w:t>;</w:t>
      </w:r>
      <w:r w:rsidRPr="0035651E">
        <w:rPr>
          <w:sz w:val="24"/>
          <w:szCs w:val="24"/>
          <w:lang w:val="ru-RU"/>
        </w:rPr>
        <w:t xml:space="preserve"> прочие мероприятия развития экспорта. </w:t>
      </w:r>
    </w:p>
    <w:p w14:paraId="2733488D" w14:textId="6627ADD6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Вывод новых МСП на экспорт дополнительно включает в себя мероприятия по</w:t>
      </w:r>
      <w:r w:rsidR="00D35B91">
        <w:rPr>
          <w:sz w:val="24"/>
          <w:szCs w:val="24"/>
          <w:lang w:val="ru-RU"/>
        </w:rPr>
        <w:t> </w:t>
      </w:r>
      <w:r w:rsidRPr="0035651E">
        <w:rPr>
          <w:sz w:val="24"/>
          <w:szCs w:val="24"/>
          <w:lang w:val="ru-RU"/>
        </w:rPr>
        <w:t xml:space="preserve">популяризации экспортной деятельности в регионе, а также образовательные и просветительские мероприятия. </w:t>
      </w:r>
    </w:p>
    <w:p w14:paraId="757312A7" w14:textId="50AF854C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С целью оценки эффективности проведения мероприятий необходимо предусмотреть следующие </w:t>
      </w:r>
      <w:r w:rsidR="00861FEE" w:rsidRPr="00E5341B">
        <w:rPr>
          <w:sz w:val="24"/>
          <w:szCs w:val="24"/>
          <w:lang w:val="ru-RU"/>
        </w:rPr>
        <w:t>критерии</w:t>
      </w:r>
      <w:r w:rsidRPr="0035651E">
        <w:rPr>
          <w:sz w:val="24"/>
          <w:szCs w:val="24"/>
          <w:lang w:val="ru-RU"/>
        </w:rPr>
        <w:t xml:space="preserve">: </w:t>
      </w:r>
    </w:p>
    <w:p w14:paraId="5A9F81CF" w14:textId="3BECD120" w:rsidR="000E3454" w:rsidRPr="0035651E" w:rsidRDefault="000E3454" w:rsidP="00A75300">
      <w:pPr>
        <w:numPr>
          <w:ilvl w:val="0"/>
          <w:numId w:val="5"/>
        </w:numPr>
        <w:spacing w:before="120" w:after="120" w:line="240" w:lineRule="auto"/>
        <w:ind w:right="8" w:hanging="36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Количество МСП, получивших услуги и меры поддержки</w:t>
      </w:r>
      <w:r w:rsidR="00BF7515">
        <w:rPr>
          <w:sz w:val="24"/>
          <w:szCs w:val="24"/>
          <w:lang w:val="ru-RU"/>
        </w:rPr>
        <w:t>.</w:t>
      </w:r>
      <w:r w:rsidRPr="0035651E">
        <w:rPr>
          <w:sz w:val="24"/>
          <w:szCs w:val="24"/>
          <w:lang w:val="ru-RU"/>
        </w:rPr>
        <w:t xml:space="preserve"> </w:t>
      </w:r>
    </w:p>
    <w:p w14:paraId="3443C6D4" w14:textId="071F911E" w:rsidR="000E3454" w:rsidRPr="0035651E" w:rsidRDefault="000E3454" w:rsidP="00A75300">
      <w:pPr>
        <w:numPr>
          <w:ilvl w:val="0"/>
          <w:numId w:val="5"/>
        </w:numPr>
        <w:spacing w:before="120" w:after="120" w:line="240" w:lineRule="auto"/>
        <w:ind w:right="8" w:hanging="36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Количество МСП, заключивших</w:t>
      </w:r>
      <w:r w:rsidR="00861FEE">
        <w:rPr>
          <w:sz w:val="24"/>
          <w:szCs w:val="24"/>
          <w:lang w:val="ru-RU"/>
        </w:rPr>
        <w:t xml:space="preserve"> экспортные контракты</w:t>
      </w:r>
      <w:r w:rsidR="00BF7515">
        <w:rPr>
          <w:sz w:val="24"/>
          <w:szCs w:val="24"/>
          <w:lang w:val="ru-RU"/>
        </w:rPr>
        <w:t>.</w:t>
      </w:r>
      <w:r w:rsidRPr="0035651E">
        <w:rPr>
          <w:sz w:val="24"/>
          <w:szCs w:val="24"/>
          <w:lang w:val="ru-RU"/>
        </w:rPr>
        <w:t xml:space="preserve"> </w:t>
      </w:r>
    </w:p>
    <w:p w14:paraId="03BE6F63" w14:textId="39FE34E8" w:rsidR="000E3454" w:rsidRPr="00A2341F" w:rsidRDefault="000E3454" w:rsidP="00A75300">
      <w:pPr>
        <w:spacing w:before="120" w:after="120" w:line="240" w:lineRule="auto"/>
        <w:ind w:right="7"/>
        <w:jc w:val="left"/>
        <w:rPr>
          <w:bCs/>
          <w:i/>
          <w:iCs/>
          <w:sz w:val="24"/>
          <w:szCs w:val="24"/>
          <w:lang w:val="ru-RU"/>
        </w:rPr>
      </w:pPr>
      <w:r w:rsidRPr="00A2341F">
        <w:rPr>
          <w:bCs/>
          <w:i/>
          <w:iCs/>
          <w:sz w:val="24"/>
          <w:szCs w:val="24"/>
          <w:lang w:val="ru-RU"/>
        </w:rPr>
        <w:t xml:space="preserve">Пример расчета бюджетных ассигнований на примере одной отрасли </w:t>
      </w:r>
    </w:p>
    <w:p w14:paraId="6620135F" w14:textId="5ADE5B13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Экспорт условной отрасли </w:t>
      </w:r>
      <w:r w:rsidRPr="0035651E">
        <w:rPr>
          <w:sz w:val="24"/>
          <w:szCs w:val="24"/>
        </w:rPr>
        <w:t>X</w:t>
      </w:r>
      <w:r w:rsidRPr="0035651E">
        <w:rPr>
          <w:sz w:val="24"/>
          <w:szCs w:val="24"/>
          <w:lang w:val="ru-RU"/>
        </w:rPr>
        <w:t xml:space="preserve"> </w:t>
      </w:r>
      <w:r w:rsidR="00861FEE">
        <w:rPr>
          <w:sz w:val="24"/>
          <w:szCs w:val="24"/>
          <w:lang w:val="ru-RU"/>
        </w:rPr>
        <w:t>с</w:t>
      </w:r>
      <w:r w:rsidRPr="0035651E">
        <w:rPr>
          <w:sz w:val="24"/>
          <w:szCs w:val="24"/>
          <w:lang w:val="ru-RU"/>
        </w:rPr>
        <w:t>убъекта</w:t>
      </w:r>
      <w:r w:rsidR="00861FEE">
        <w:rPr>
          <w:sz w:val="24"/>
          <w:szCs w:val="24"/>
          <w:lang w:val="ru-RU"/>
        </w:rPr>
        <w:t xml:space="preserve"> Российской Федерации</w:t>
      </w:r>
      <w:r w:rsidRPr="0035651E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</w:rPr>
        <w:t>N</w:t>
      </w:r>
      <w:r w:rsidRPr="0035651E">
        <w:rPr>
          <w:sz w:val="24"/>
          <w:szCs w:val="24"/>
          <w:lang w:val="ru-RU"/>
        </w:rPr>
        <w:t xml:space="preserve"> в 2020 году составил 120</w:t>
      </w:r>
      <w:r w:rsidR="00A75300">
        <w:rPr>
          <w:sz w:val="24"/>
          <w:szCs w:val="24"/>
          <w:lang w:val="ru-RU"/>
        </w:rPr>
        <w:t> </w:t>
      </w:r>
      <w:r w:rsidRPr="0035651E">
        <w:rPr>
          <w:sz w:val="24"/>
          <w:szCs w:val="24"/>
          <w:lang w:val="ru-RU"/>
        </w:rPr>
        <w:t xml:space="preserve">млн долл. США. Среди экспортеров отрасли существует </w:t>
      </w:r>
      <w:r w:rsidR="00BF7515">
        <w:rPr>
          <w:sz w:val="24"/>
          <w:szCs w:val="24"/>
          <w:lang w:val="ru-RU"/>
        </w:rPr>
        <w:t>одна</w:t>
      </w:r>
      <w:r w:rsidRPr="0035651E">
        <w:rPr>
          <w:sz w:val="24"/>
          <w:szCs w:val="24"/>
          <w:lang w:val="ru-RU"/>
        </w:rPr>
        <w:t xml:space="preserve"> крупная компания </w:t>
      </w:r>
      <w:r w:rsidR="00BF7515">
        <w:rPr>
          <w:sz w:val="24"/>
          <w:szCs w:val="24"/>
          <w:lang w:val="ru-RU"/>
        </w:rPr>
        <w:br/>
      </w:r>
      <w:r w:rsidRPr="0035651E">
        <w:rPr>
          <w:sz w:val="24"/>
          <w:szCs w:val="24"/>
          <w:lang w:val="ru-RU"/>
        </w:rPr>
        <w:t xml:space="preserve">и </w:t>
      </w:r>
      <w:r w:rsidR="00D35B91" w:rsidRPr="0035651E">
        <w:rPr>
          <w:sz w:val="24"/>
          <w:szCs w:val="24"/>
          <w:lang w:val="ru-RU"/>
        </w:rPr>
        <w:t xml:space="preserve">50 </w:t>
      </w:r>
      <w:r w:rsidR="00D35B91">
        <w:rPr>
          <w:sz w:val="24"/>
          <w:szCs w:val="24"/>
          <w:lang w:val="ru-RU"/>
        </w:rPr>
        <w:t>МСП</w:t>
      </w:r>
      <w:r w:rsidRPr="0035651E">
        <w:rPr>
          <w:sz w:val="24"/>
          <w:szCs w:val="24"/>
          <w:lang w:val="ru-RU"/>
        </w:rPr>
        <w:t>. Объем экспорта крупной компании составляет 100 млн долл. США, а совокупный объем 50</w:t>
      </w:r>
      <w:r w:rsidR="00D35B91">
        <w:rPr>
          <w:sz w:val="24"/>
          <w:szCs w:val="24"/>
          <w:lang w:val="ru-RU"/>
        </w:rPr>
        <w:t> </w:t>
      </w:r>
      <w:r w:rsidRPr="0035651E">
        <w:rPr>
          <w:sz w:val="24"/>
          <w:szCs w:val="24"/>
          <w:lang w:val="ru-RU"/>
        </w:rPr>
        <w:t xml:space="preserve">МСП – 20 млн долл. США. </w:t>
      </w:r>
    </w:p>
    <w:p w14:paraId="7794212A" w14:textId="1F58CBA2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Для достижения основного показателя роста ННЭ в 70</w:t>
      </w:r>
      <w:r w:rsidR="00BF7515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 xml:space="preserve">% к уровню 2020 года, необходимо обеспечить выполнение </w:t>
      </w:r>
      <w:r w:rsidR="00BF7515">
        <w:rPr>
          <w:sz w:val="24"/>
          <w:szCs w:val="24"/>
          <w:lang w:val="ru-RU"/>
        </w:rPr>
        <w:t>трех</w:t>
      </w:r>
      <w:r w:rsidRPr="0035651E">
        <w:rPr>
          <w:sz w:val="24"/>
          <w:szCs w:val="24"/>
          <w:lang w:val="ru-RU"/>
        </w:rPr>
        <w:t xml:space="preserve"> задач: </w:t>
      </w:r>
    </w:p>
    <w:p w14:paraId="08C9398E" w14:textId="621DD2C6" w:rsidR="000E3454" w:rsidRPr="0035651E" w:rsidRDefault="000E3454" w:rsidP="00A75300">
      <w:pPr>
        <w:numPr>
          <w:ilvl w:val="0"/>
          <w:numId w:val="6"/>
        </w:numPr>
        <w:spacing w:before="120" w:after="120" w:line="240" w:lineRule="auto"/>
        <w:ind w:left="426" w:right="0" w:hanging="36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lastRenderedPageBreak/>
        <w:t>Наращивание объема экспорта крупной компании на 70</w:t>
      </w:r>
      <w:r w:rsidR="00BF7515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>% в 2030 году</w:t>
      </w:r>
      <w:r w:rsidR="00BF7515">
        <w:rPr>
          <w:sz w:val="24"/>
          <w:szCs w:val="24"/>
          <w:lang w:val="ru-RU"/>
        </w:rPr>
        <w:t>.</w:t>
      </w:r>
      <w:r w:rsidRPr="0035651E">
        <w:rPr>
          <w:sz w:val="24"/>
          <w:szCs w:val="24"/>
          <w:lang w:val="ru-RU"/>
        </w:rPr>
        <w:t xml:space="preserve"> </w:t>
      </w:r>
    </w:p>
    <w:p w14:paraId="2AB1A247" w14:textId="1D8CBEB9" w:rsidR="000E3454" w:rsidRPr="0035651E" w:rsidRDefault="000E3454" w:rsidP="00A75300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Для решения данной задачи предлагается по взаимной договоренности с компанией установить для неё индивидуальн</w:t>
      </w:r>
      <w:r w:rsidR="00861FEE">
        <w:rPr>
          <w:sz w:val="24"/>
          <w:szCs w:val="24"/>
          <w:lang w:val="ru-RU"/>
        </w:rPr>
        <w:t xml:space="preserve">ое </w:t>
      </w:r>
      <w:r w:rsidR="00861FEE" w:rsidRPr="00E5341B">
        <w:rPr>
          <w:sz w:val="24"/>
          <w:szCs w:val="24"/>
          <w:lang w:val="ru-RU"/>
        </w:rPr>
        <w:t xml:space="preserve">значение </w:t>
      </w:r>
      <w:r w:rsidR="00861FEE">
        <w:rPr>
          <w:sz w:val="24"/>
          <w:szCs w:val="24"/>
          <w:lang w:val="ru-RU"/>
        </w:rPr>
        <w:t>основного показателя по росту ННЭ</w:t>
      </w:r>
      <w:r w:rsidRPr="0035651E">
        <w:rPr>
          <w:sz w:val="24"/>
          <w:szCs w:val="24"/>
          <w:lang w:val="ru-RU"/>
        </w:rPr>
        <w:t xml:space="preserve"> </w:t>
      </w:r>
      <w:r w:rsidR="00861FEE">
        <w:rPr>
          <w:sz w:val="24"/>
          <w:szCs w:val="24"/>
          <w:lang w:val="ru-RU"/>
        </w:rPr>
        <w:t>в</w:t>
      </w:r>
      <w:r w:rsidRPr="0035651E">
        <w:rPr>
          <w:sz w:val="24"/>
          <w:szCs w:val="24"/>
          <w:lang w:val="ru-RU"/>
        </w:rPr>
        <w:t xml:space="preserve"> обмен на дополнительные меры поддержки со стороны субъекта</w:t>
      </w:r>
      <w:r w:rsidR="00626A40">
        <w:rPr>
          <w:sz w:val="24"/>
          <w:szCs w:val="24"/>
          <w:lang w:val="ru-RU"/>
        </w:rPr>
        <w:t xml:space="preserve"> Российской Федерации</w:t>
      </w:r>
      <w:r w:rsidRPr="0035651E">
        <w:rPr>
          <w:sz w:val="24"/>
          <w:szCs w:val="24"/>
          <w:lang w:val="ru-RU"/>
        </w:rPr>
        <w:t xml:space="preserve">, в том числе за счет вывода на новый зарубежный рынок. </w:t>
      </w:r>
    </w:p>
    <w:p w14:paraId="7BAB3F47" w14:textId="53E297CA" w:rsidR="000E3454" w:rsidRDefault="000E3454" w:rsidP="00A75300">
      <w:pPr>
        <w:spacing w:before="120" w:after="120" w:line="240" w:lineRule="auto"/>
        <w:ind w:right="0"/>
        <w:rPr>
          <w:sz w:val="24"/>
          <w:szCs w:val="24"/>
        </w:rPr>
      </w:pPr>
      <w:r w:rsidRPr="0035651E">
        <w:rPr>
          <w:sz w:val="24"/>
          <w:szCs w:val="24"/>
        </w:rPr>
        <w:t xml:space="preserve">Предлагаемые меры и бюджет: </w:t>
      </w:r>
    </w:p>
    <w:tbl>
      <w:tblPr>
        <w:tblW w:w="9346" w:type="dxa"/>
        <w:tblInd w:w="5" w:type="dxa"/>
        <w:tblCellMar>
          <w:top w:w="65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703"/>
        <w:gridCol w:w="4964"/>
        <w:gridCol w:w="3679"/>
      </w:tblGrid>
      <w:tr w:rsidR="000E3454" w:rsidRPr="0035651E" w14:paraId="00D0E6DF" w14:textId="77777777" w:rsidTr="00D35B91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7D8D" w14:textId="6833B125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№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86AD" w14:textId="221FB4E8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Мера поддержки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38FD0" w14:textId="356BE14D" w:rsidR="000E3454" w:rsidRPr="0035651E" w:rsidRDefault="000E3454" w:rsidP="001C5A9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Бюджет</w:t>
            </w:r>
          </w:p>
        </w:tc>
      </w:tr>
      <w:tr w:rsidR="000E3454" w:rsidRPr="0035651E" w14:paraId="39F37BA8" w14:textId="77777777" w:rsidTr="00D35B91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5B75A" w14:textId="53178099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7D655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Сертификация продукции на новом рынке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49A1" w14:textId="3799D9C5" w:rsidR="000E3454" w:rsidRPr="0035651E" w:rsidRDefault="00D35B91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0E3454" w:rsidRPr="0035651E">
              <w:rPr>
                <w:sz w:val="24"/>
                <w:szCs w:val="24"/>
              </w:rPr>
              <w:t xml:space="preserve">римерно 10 млн руб. </w:t>
            </w:r>
          </w:p>
        </w:tc>
      </w:tr>
      <w:tr w:rsidR="000E3454" w:rsidRPr="0035651E" w14:paraId="58CFB781" w14:textId="77777777" w:rsidTr="00D35B91">
        <w:trPr>
          <w:trHeight w:val="6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B186" w14:textId="47AD56B5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4530" w14:textId="77777777" w:rsidR="000E3454" w:rsidRPr="0035651E" w:rsidRDefault="000E3454" w:rsidP="005716D7">
            <w:pPr>
              <w:tabs>
                <w:tab w:val="center" w:pos="1582"/>
                <w:tab w:val="center" w:pos="2734"/>
                <w:tab w:val="center" w:pos="3755"/>
                <w:tab w:val="right" w:pos="481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Участие </w:t>
            </w:r>
            <w:r w:rsidRPr="0035651E">
              <w:rPr>
                <w:sz w:val="24"/>
                <w:szCs w:val="24"/>
                <w:lang w:val="ru-RU"/>
              </w:rPr>
              <w:tab/>
              <w:t xml:space="preserve">как </w:t>
            </w:r>
            <w:r w:rsidRPr="0035651E">
              <w:rPr>
                <w:sz w:val="24"/>
                <w:szCs w:val="24"/>
                <w:lang w:val="ru-RU"/>
              </w:rPr>
              <w:tab/>
              <w:t xml:space="preserve">минимум </w:t>
            </w:r>
            <w:r w:rsidRPr="0035651E">
              <w:rPr>
                <w:sz w:val="24"/>
                <w:szCs w:val="24"/>
                <w:lang w:val="ru-RU"/>
              </w:rPr>
              <w:tab/>
              <w:t xml:space="preserve">в </w:t>
            </w:r>
            <w:r w:rsidRPr="0035651E">
              <w:rPr>
                <w:sz w:val="24"/>
                <w:szCs w:val="24"/>
                <w:lang w:val="ru-RU"/>
              </w:rPr>
              <w:tab/>
              <w:t xml:space="preserve">трех </w:t>
            </w:r>
          </w:p>
          <w:p w14:paraId="7408FE4D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отраслевых выставках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0D533" w14:textId="686A5924" w:rsidR="000E3454" w:rsidRPr="0035651E" w:rsidRDefault="00D35B91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0E3454" w:rsidRPr="0035651E">
              <w:rPr>
                <w:sz w:val="24"/>
                <w:szCs w:val="24"/>
              </w:rPr>
              <w:t xml:space="preserve">римерно 15 млн руб. </w:t>
            </w:r>
          </w:p>
        </w:tc>
      </w:tr>
      <w:tr w:rsidR="000E3454" w:rsidRPr="0035651E" w14:paraId="7937BCCC" w14:textId="77777777" w:rsidTr="00D35B91">
        <w:trPr>
          <w:trHeight w:val="6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AF9F" w14:textId="5FE43186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45D8" w14:textId="77777777" w:rsidR="000E3454" w:rsidRPr="0035651E" w:rsidRDefault="000E3454" w:rsidP="005716D7">
            <w:pPr>
              <w:spacing w:after="0" w:line="259" w:lineRule="auto"/>
              <w:ind w:left="2" w:right="0" w:firstLine="0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Продвижение компании в целевой </w:t>
            </w:r>
          </w:p>
          <w:p w14:paraId="20A15C91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стране (реклама)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EC22" w14:textId="5DF2EC4A" w:rsidR="000E3454" w:rsidRPr="0035651E" w:rsidRDefault="00A75300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0E3454" w:rsidRPr="0035651E">
              <w:rPr>
                <w:sz w:val="24"/>
                <w:szCs w:val="24"/>
              </w:rPr>
              <w:t xml:space="preserve"> зависимости от страны </w:t>
            </w:r>
          </w:p>
        </w:tc>
      </w:tr>
      <w:tr w:rsidR="000E3454" w:rsidRPr="0035651E" w14:paraId="6F49B28B" w14:textId="77777777" w:rsidTr="00D35B91">
        <w:trPr>
          <w:trHeight w:val="6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E640" w14:textId="504CBE5E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271B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Подготовка кадров для компании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E1F8" w14:textId="720283B0" w:rsidR="000E3454" w:rsidRPr="0035651E" w:rsidRDefault="00D35B91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="000E3454" w:rsidRPr="0035651E">
              <w:rPr>
                <w:sz w:val="24"/>
                <w:szCs w:val="24"/>
              </w:rPr>
              <w:t xml:space="preserve">пределяется совместно с компанией </w:t>
            </w:r>
          </w:p>
        </w:tc>
      </w:tr>
      <w:tr w:rsidR="000E3454" w:rsidRPr="0035651E" w14:paraId="097927A1" w14:textId="77777777" w:rsidTr="00D35B91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7B53" w14:textId="2B2FEA13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F10AC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Льготы на модернизацию производства и/или налоговые льготы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5127" w14:textId="698711E5" w:rsidR="000E3454" w:rsidRPr="0035651E" w:rsidRDefault="00D35B91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="000E3454" w:rsidRPr="0035651E">
              <w:rPr>
                <w:sz w:val="24"/>
                <w:szCs w:val="24"/>
              </w:rPr>
              <w:t xml:space="preserve">пределяется совместно с компанией </w:t>
            </w:r>
          </w:p>
        </w:tc>
      </w:tr>
    </w:tbl>
    <w:p w14:paraId="4688FF4F" w14:textId="2D2BF409" w:rsidR="009B46C5" w:rsidRPr="00EF6EE7" w:rsidRDefault="000E3454" w:rsidP="00A75300">
      <w:pPr>
        <w:numPr>
          <w:ilvl w:val="0"/>
          <w:numId w:val="6"/>
        </w:numPr>
        <w:spacing w:before="120" w:after="120" w:line="240" w:lineRule="auto"/>
        <w:ind w:left="426" w:right="0" w:hanging="36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Поддержка экспорта 50 МСП для сохранения их объема</w:t>
      </w:r>
      <w:r w:rsidR="00626A40">
        <w:rPr>
          <w:sz w:val="24"/>
          <w:szCs w:val="24"/>
          <w:lang w:val="ru-RU"/>
        </w:rPr>
        <w:t xml:space="preserve"> экспорта</w:t>
      </w:r>
      <w:r w:rsidR="00BF7515">
        <w:rPr>
          <w:sz w:val="24"/>
          <w:szCs w:val="24"/>
          <w:lang w:val="ru-RU"/>
        </w:rPr>
        <w:t>.</w:t>
      </w:r>
    </w:p>
    <w:p w14:paraId="375F08D5" w14:textId="4BB8E3EE" w:rsidR="00D453AA" w:rsidRPr="0035651E" w:rsidRDefault="000E3454" w:rsidP="00A75300">
      <w:pPr>
        <w:spacing w:before="120" w:after="120" w:line="240" w:lineRule="auto"/>
        <w:ind w:right="0"/>
        <w:rPr>
          <w:sz w:val="24"/>
          <w:szCs w:val="24"/>
        </w:rPr>
      </w:pPr>
      <w:r w:rsidRPr="0035651E">
        <w:rPr>
          <w:sz w:val="24"/>
          <w:szCs w:val="24"/>
        </w:rPr>
        <w:t xml:space="preserve">Предлагаемые меры и бюджет: </w:t>
      </w:r>
    </w:p>
    <w:tbl>
      <w:tblPr>
        <w:tblW w:w="9346" w:type="dxa"/>
        <w:tblInd w:w="5" w:type="dxa"/>
        <w:tblCellMar>
          <w:top w:w="6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3"/>
        <w:gridCol w:w="4964"/>
        <w:gridCol w:w="3679"/>
      </w:tblGrid>
      <w:tr w:rsidR="000E3454" w:rsidRPr="0035651E" w14:paraId="00350135" w14:textId="77777777" w:rsidTr="00D35B91">
        <w:trPr>
          <w:trHeight w:val="33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6DF5" w14:textId="06AF2995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№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2CC4" w14:textId="08DAEE1B" w:rsidR="000E3454" w:rsidRPr="0035651E" w:rsidRDefault="000E3454" w:rsidP="001C5A90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Мера поддержки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F3019" w14:textId="51ED4565" w:rsidR="000E3454" w:rsidRPr="0035651E" w:rsidRDefault="000E3454" w:rsidP="001C5A9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Бюджет</w:t>
            </w:r>
          </w:p>
        </w:tc>
      </w:tr>
      <w:tr w:rsidR="000E3454" w:rsidRPr="000A256A" w14:paraId="2D286F8D" w14:textId="77777777" w:rsidTr="00D35B91">
        <w:trPr>
          <w:trHeight w:val="3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C04BB" w14:textId="2ECE991D" w:rsidR="000E3454" w:rsidRPr="0035651E" w:rsidRDefault="000E3454" w:rsidP="00D453AA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E2F70" w14:textId="7E381633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Продвижение на ЭТП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E91B3" w14:textId="1F8E5233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500 тыс. </w:t>
            </w:r>
            <w:r w:rsidR="006D20D4">
              <w:rPr>
                <w:sz w:val="24"/>
                <w:szCs w:val="24"/>
                <w:lang w:val="ru-RU"/>
              </w:rPr>
              <w:t xml:space="preserve">руб. </w:t>
            </w:r>
            <w:r w:rsidRPr="0035651E">
              <w:rPr>
                <w:sz w:val="24"/>
                <w:szCs w:val="24"/>
                <w:lang w:val="ru-RU"/>
              </w:rPr>
              <w:t xml:space="preserve">в год на 1 МСП </w:t>
            </w:r>
          </w:p>
        </w:tc>
      </w:tr>
      <w:tr w:rsidR="000E3454" w:rsidRPr="000A256A" w14:paraId="23A71260" w14:textId="77777777" w:rsidTr="00D35B91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39E9" w14:textId="46D4C3B4" w:rsidR="000E3454" w:rsidRPr="0035651E" w:rsidRDefault="000E3454" w:rsidP="00D453AA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5046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Экспортный кэшбек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62D9" w14:textId="2C88D6A0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>1 млн</w:t>
            </w:r>
            <w:r w:rsidR="006D20D4">
              <w:rPr>
                <w:sz w:val="24"/>
                <w:szCs w:val="24"/>
                <w:lang w:val="ru-RU"/>
              </w:rPr>
              <w:t xml:space="preserve"> руб.</w:t>
            </w:r>
            <w:r w:rsidRPr="0035651E">
              <w:rPr>
                <w:sz w:val="24"/>
                <w:szCs w:val="24"/>
                <w:lang w:val="ru-RU"/>
              </w:rPr>
              <w:t xml:space="preserve"> в год на 1 МСП </w:t>
            </w:r>
          </w:p>
        </w:tc>
      </w:tr>
      <w:tr w:rsidR="000E3454" w:rsidRPr="000A256A" w14:paraId="5D4BB717" w14:textId="77777777" w:rsidTr="00D35B91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A3F2" w14:textId="6B64A5E2" w:rsidR="000E3454" w:rsidRPr="0035651E" w:rsidRDefault="000E3454" w:rsidP="00D453AA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6829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Компенсация логистики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6C04A" w14:textId="77777777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Определяется совместно с профильным отраслевым РОИВ </w:t>
            </w:r>
          </w:p>
        </w:tc>
      </w:tr>
      <w:tr w:rsidR="000E3454" w:rsidRPr="000A256A" w14:paraId="3E418719" w14:textId="77777777" w:rsidTr="00D35B91">
        <w:trPr>
          <w:trHeight w:val="6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BCFE3" w14:textId="0F3CB29C" w:rsidR="000E3454" w:rsidRPr="0035651E" w:rsidRDefault="000E3454" w:rsidP="00D453AA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30BD6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Правовое сопровождение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9D873" w14:textId="77777777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Определяется совместно с профильным отраслевым РОИВ </w:t>
            </w:r>
          </w:p>
        </w:tc>
      </w:tr>
      <w:tr w:rsidR="000E3454" w:rsidRPr="000A256A" w14:paraId="65F00D54" w14:textId="77777777" w:rsidTr="00D35B91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A352" w14:textId="269CC68B" w:rsidR="000E3454" w:rsidRPr="0035651E" w:rsidRDefault="000E3454" w:rsidP="00D453AA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E6770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Продвижение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32E32" w14:textId="77777777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Определяется совместно с профильным отраслевым РОИВ </w:t>
            </w:r>
          </w:p>
        </w:tc>
      </w:tr>
    </w:tbl>
    <w:p w14:paraId="57F277CB" w14:textId="6F8F62EF" w:rsidR="000E3454" w:rsidRPr="0035651E" w:rsidRDefault="000E3454" w:rsidP="00A75300">
      <w:pPr>
        <w:numPr>
          <w:ilvl w:val="0"/>
          <w:numId w:val="6"/>
        </w:numPr>
        <w:spacing w:before="120" w:after="120" w:line="240" w:lineRule="auto"/>
        <w:ind w:left="426" w:right="0" w:hanging="36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Увеличение объема ННЭ МСП возможно при увеличении количества </w:t>
      </w:r>
      <w:r w:rsidR="005C1734">
        <w:rPr>
          <w:sz w:val="24"/>
          <w:szCs w:val="24"/>
          <w:lang w:val="ru-RU"/>
        </w:rPr>
        <w:t>экспортеров из числа МСП</w:t>
      </w:r>
      <w:r w:rsidRPr="0035651E">
        <w:rPr>
          <w:sz w:val="24"/>
          <w:szCs w:val="24"/>
          <w:lang w:val="ru-RU"/>
        </w:rPr>
        <w:t xml:space="preserve">.  С этой целью планируется при сохранении среднего чека вывести дополнительно 35 новых МСП на экспорт. </w:t>
      </w:r>
    </w:p>
    <w:p w14:paraId="0BEA9232" w14:textId="1538CF14" w:rsidR="000E3454" w:rsidRPr="0035651E" w:rsidRDefault="000E3454" w:rsidP="00A75300">
      <w:pPr>
        <w:spacing w:before="120" w:after="120" w:line="240" w:lineRule="auto"/>
        <w:ind w:left="0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Для достижения этой цели необходима популяризация экспорта в регионе. </w:t>
      </w:r>
      <w:r w:rsidR="00132D28">
        <w:rPr>
          <w:sz w:val="24"/>
          <w:szCs w:val="24"/>
          <w:lang w:val="ru-RU"/>
        </w:rPr>
        <w:t>Например, п</w:t>
      </w:r>
      <w:r w:rsidRPr="0035651E">
        <w:rPr>
          <w:sz w:val="24"/>
          <w:szCs w:val="24"/>
          <w:lang w:val="ru-RU"/>
        </w:rPr>
        <w:t>роведение обучения экспортной деятельности на базе ЦПЭ, что в результате может привлечь часть участников на иные меры поддержки. Исходя из конверсии для такого объема</w:t>
      </w:r>
      <w:r w:rsidR="00EC5BCB">
        <w:rPr>
          <w:sz w:val="24"/>
          <w:szCs w:val="24"/>
          <w:lang w:val="ru-RU"/>
        </w:rPr>
        <w:t>,</w:t>
      </w:r>
      <w:r w:rsidRPr="0035651E">
        <w:rPr>
          <w:sz w:val="24"/>
          <w:szCs w:val="24"/>
          <w:lang w:val="ru-RU"/>
        </w:rPr>
        <w:t xml:space="preserve"> необходимо обучить около 650 МСП, </w:t>
      </w:r>
      <w:r w:rsidR="00132D28">
        <w:rPr>
          <w:sz w:val="24"/>
          <w:szCs w:val="24"/>
          <w:lang w:val="ru-RU"/>
        </w:rPr>
        <w:t xml:space="preserve">из которых </w:t>
      </w:r>
      <w:r w:rsidRPr="0035651E">
        <w:rPr>
          <w:sz w:val="24"/>
          <w:szCs w:val="24"/>
          <w:lang w:val="ru-RU"/>
        </w:rPr>
        <w:t>в среднем 130 в дальнейшем воспользуются иными услугами, которые в свою очередь суммарно дадут 35</w:t>
      </w:r>
      <w:r w:rsidR="00D35B91">
        <w:rPr>
          <w:sz w:val="24"/>
          <w:szCs w:val="24"/>
          <w:lang w:val="ru-RU"/>
        </w:rPr>
        <w:t> </w:t>
      </w:r>
      <w:r w:rsidRPr="0035651E">
        <w:rPr>
          <w:sz w:val="24"/>
          <w:szCs w:val="24"/>
          <w:lang w:val="ru-RU"/>
        </w:rPr>
        <w:t>новых</w:t>
      </w:r>
      <w:r w:rsidR="00EB751F">
        <w:rPr>
          <w:sz w:val="24"/>
          <w:szCs w:val="24"/>
          <w:lang w:val="ru-RU"/>
        </w:rPr>
        <w:t xml:space="preserve"> </w:t>
      </w:r>
      <w:r w:rsidR="005C1734">
        <w:rPr>
          <w:sz w:val="24"/>
          <w:szCs w:val="24"/>
          <w:lang w:val="ru-RU"/>
        </w:rPr>
        <w:t>экспортеров из числа МСП</w:t>
      </w:r>
      <w:r w:rsidR="005A3F6F">
        <w:rPr>
          <w:sz w:val="24"/>
          <w:szCs w:val="24"/>
          <w:lang w:val="ru-RU"/>
        </w:rPr>
        <w:t>.</w:t>
      </w:r>
    </w:p>
    <w:p w14:paraId="52454EAC" w14:textId="77777777" w:rsidR="00A75300" w:rsidRDefault="00A75300" w:rsidP="00A75300">
      <w:pPr>
        <w:spacing w:before="120" w:after="120" w:line="240" w:lineRule="auto"/>
        <w:ind w:left="0" w:righ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14:paraId="40F74DC6" w14:textId="7713EBAD" w:rsidR="000E3454" w:rsidRDefault="000E3454" w:rsidP="00A75300">
      <w:pPr>
        <w:spacing w:before="120" w:after="120" w:line="240" w:lineRule="auto"/>
        <w:ind w:right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lastRenderedPageBreak/>
        <w:t xml:space="preserve">В итоге предлагаемые меры и бюджет составят: </w:t>
      </w:r>
    </w:p>
    <w:p w14:paraId="544D85AF" w14:textId="77777777" w:rsidR="005A3F6F" w:rsidRPr="0035651E" w:rsidRDefault="005A3F6F" w:rsidP="00A75300">
      <w:pPr>
        <w:spacing w:before="120" w:after="120" w:line="240" w:lineRule="auto"/>
        <w:ind w:left="718" w:right="0"/>
        <w:rPr>
          <w:sz w:val="24"/>
          <w:szCs w:val="24"/>
          <w:lang w:val="ru-RU"/>
        </w:rPr>
      </w:pPr>
    </w:p>
    <w:tbl>
      <w:tblPr>
        <w:tblW w:w="9346" w:type="dxa"/>
        <w:tblInd w:w="5" w:type="dxa"/>
        <w:tblCellMar>
          <w:top w:w="6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3"/>
        <w:gridCol w:w="4964"/>
        <w:gridCol w:w="3679"/>
      </w:tblGrid>
      <w:tr w:rsidR="000E3454" w:rsidRPr="0035651E" w14:paraId="0DB692E4" w14:textId="77777777" w:rsidTr="00D35B91">
        <w:trPr>
          <w:trHeight w:val="33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74F3" w14:textId="3DAE0E9B" w:rsidR="000E3454" w:rsidRPr="0035651E" w:rsidRDefault="000E3454" w:rsidP="002B36E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№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8E2E" w14:textId="59731D55" w:rsidR="000E3454" w:rsidRPr="0035651E" w:rsidRDefault="000E3454" w:rsidP="002B36E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Мера поддержки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56E0" w14:textId="30393B98" w:rsidR="000E3454" w:rsidRPr="0035651E" w:rsidRDefault="000E3454" w:rsidP="002B36EF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Бюджет</w:t>
            </w:r>
          </w:p>
        </w:tc>
      </w:tr>
      <w:tr w:rsidR="000E3454" w:rsidRPr="000A256A" w14:paraId="03AEE1A5" w14:textId="77777777" w:rsidTr="00D35B91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DB31" w14:textId="30534A20" w:rsidR="000E3454" w:rsidRPr="0035651E" w:rsidRDefault="000E3454" w:rsidP="00DE6D5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C0A3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Обучение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12541" w14:textId="21B2341E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>8 тыс.</w:t>
            </w:r>
            <w:r w:rsidR="003503DC">
              <w:rPr>
                <w:sz w:val="24"/>
                <w:szCs w:val="24"/>
                <w:lang w:val="ru-RU"/>
              </w:rPr>
              <w:t xml:space="preserve"> руб.</w:t>
            </w:r>
            <w:r w:rsidRPr="0035651E">
              <w:rPr>
                <w:sz w:val="24"/>
                <w:szCs w:val="24"/>
                <w:lang w:val="ru-RU"/>
              </w:rPr>
              <w:t xml:space="preserve"> в год на 1 МСП </w:t>
            </w:r>
          </w:p>
        </w:tc>
      </w:tr>
      <w:tr w:rsidR="000E3454" w:rsidRPr="000A256A" w14:paraId="4DAD1843" w14:textId="77777777" w:rsidTr="00D35B91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1ECD" w14:textId="064F7124" w:rsidR="000E3454" w:rsidRPr="0035651E" w:rsidRDefault="000E3454" w:rsidP="00DE6D5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19096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Акселерационные программы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BCD5" w14:textId="3F6CF986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1 млн </w:t>
            </w:r>
            <w:r w:rsidR="003503DC">
              <w:rPr>
                <w:sz w:val="24"/>
                <w:szCs w:val="24"/>
                <w:lang w:val="ru-RU"/>
              </w:rPr>
              <w:t xml:space="preserve">руб. </w:t>
            </w:r>
            <w:r w:rsidRPr="0035651E">
              <w:rPr>
                <w:sz w:val="24"/>
                <w:szCs w:val="24"/>
                <w:lang w:val="ru-RU"/>
              </w:rPr>
              <w:t xml:space="preserve">в год на 1 МСП </w:t>
            </w:r>
          </w:p>
        </w:tc>
      </w:tr>
      <w:tr w:rsidR="000E3454" w:rsidRPr="000A256A" w14:paraId="1E9BFA1B" w14:textId="77777777" w:rsidTr="00D35B91">
        <w:trPr>
          <w:trHeight w:val="33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896DD" w14:textId="30B41871" w:rsidR="000E3454" w:rsidRPr="0035651E" w:rsidRDefault="000E3454" w:rsidP="00DE6D5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04B92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Поиск партнера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C4C2" w14:textId="1AF73726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200 тыс. </w:t>
            </w:r>
            <w:r w:rsidR="003503DC">
              <w:rPr>
                <w:sz w:val="24"/>
                <w:szCs w:val="24"/>
                <w:lang w:val="ru-RU"/>
              </w:rPr>
              <w:t xml:space="preserve">руб. </w:t>
            </w:r>
            <w:r w:rsidRPr="0035651E">
              <w:rPr>
                <w:sz w:val="24"/>
                <w:szCs w:val="24"/>
                <w:lang w:val="ru-RU"/>
              </w:rPr>
              <w:t xml:space="preserve">в год на 1 МСП </w:t>
            </w:r>
          </w:p>
        </w:tc>
      </w:tr>
      <w:tr w:rsidR="000E3454" w:rsidRPr="000A256A" w14:paraId="04FE39A5" w14:textId="77777777" w:rsidTr="00D35B91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6970D" w14:textId="081A80E5" w:rsidR="000E3454" w:rsidRPr="0035651E" w:rsidRDefault="000E3454" w:rsidP="00DE6D5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C53C" w14:textId="072F0D15" w:rsidR="000E3454" w:rsidRPr="008925F0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  <w:lang w:val="ru-RU"/>
              </w:rPr>
            </w:pPr>
            <w:r w:rsidRPr="008925F0">
              <w:rPr>
                <w:sz w:val="24"/>
                <w:szCs w:val="24"/>
                <w:lang w:val="ru-RU"/>
              </w:rPr>
              <w:t xml:space="preserve">Размещение на </w:t>
            </w:r>
            <w:r w:rsidR="00EA3234">
              <w:rPr>
                <w:sz w:val="24"/>
                <w:szCs w:val="24"/>
                <w:lang w:val="ru-RU"/>
              </w:rPr>
              <w:t>электронных торговых площадках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5DC5" w14:textId="52AD598D" w:rsidR="000E3454" w:rsidRPr="005C749F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5C749F">
              <w:rPr>
                <w:sz w:val="24"/>
                <w:szCs w:val="24"/>
                <w:lang w:val="ru-RU"/>
              </w:rPr>
              <w:t>1,5 млн</w:t>
            </w:r>
            <w:r w:rsidR="005C749F">
              <w:rPr>
                <w:sz w:val="24"/>
                <w:szCs w:val="24"/>
                <w:lang w:val="ru-RU"/>
              </w:rPr>
              <w:t xml:space="preserve"> </w:t>
            </w:r>
            <w:r w:rsidR="003503DC">
              <w:rPr>
                <w:sz w:val="24"/>
                <w:szCs w:val="24"/>
                <w:lang w:val="ru-RU"/>
              </w:rPr>
              <w:t xml:space="preserve">руб. </w:t>
            </w:r>
            <w:r w:rsidR="005C749F">
              <w:rPr>
                <w:sz w:val="24"/>
                <w:szCs w:val="24"/>
                <w:lang w:val="ru-RU"/>
              </w:rPr>
              <w:t>в</w:t>
            </w:r>
            <w:r w:rsidRPr="005C749F">
              <w:rPr>
                <w:sz w:val="24"/>
                <w:szCs w:val="24"/>
                <w:lang w:val="ru-RU"/>
              </w:rPr>
              <w:t xml:space="preserve"> год на 1 МСП </w:t>
            </w:r>
          </w:p>
        </w:tc>
      </w:tr>
      <w:tr w:rsidR="000E3454" w:rsidRPr="000A256A" w14:paraId="6B96A279" w14:textId="77777777" w:rsidTr="00D35B91">
        <w:trPr>
          <w:trHeight w:val="6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611B6" w14:textId="7BCF7C7F" w:rsidR="000E3454" w:rsidRPr="0035651E" w:rsidRDefault="000E3454" w:rsidP="00DE6D5F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23162" w14:textId="77777777" w:rsidR="000E3454" w:rsidRPr="0035651E" w:rsidRDefault="000E3454" w:rsidP="005716D7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Продвижение за рубежом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D5445" w14:textId="77777777" w:rsidR="000E3454" w:rsidRPr="0035651E" w:rsidRDefault="000E3454" w:rsidP="005716D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В зависимости от целевой страны </w:t>
            </w:r>
          </w:p>
        </w:tc>
      </w:tr>
    </w:tbl>
    <w:p w14:paraId="51DED735" w14:textId="19F8849E" w:rsidR="00936111" w:rsidRPr="0035651E" w:rsidRDefault="00936111" w:rsidP="003503DC">
      <w:pPr>
        <w:spacing w:after="0" w:line="259" w:lineRule="auto"/>
        <w:ind w:left="3212" w:right="0" w:firstLine="0"/>
        <w:jc w:val="left"/>
        <w:rPr>
          <w:sz w:val="24"/>
          <w:szCs w:val="24"/>
          <w:lang w:val="ru-RU"/>
        </w:rPr>
      </w:pPr>
    </w:p>
    <w:sectPr w:rsidR="00936111" w:rsidRPr="0035651E" w:rsidSect="000371FD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3ED64" w14:textId="77777777" w:rsidR="00031641" w:rsidRDefault="00031641" w:rsidP="000E3454">
      <w:pPr>
        <w:spacing w:after="0" w:line="240" w:lineRule="auto"/>
      </w:pPr>
      <w:r>
        <w:separator/>
      </w:r>
    </w:p>
  </w:endnote>
  <w:endnote w:type="continuationSeparator" w:id="0">
    <w:p w14:paraId="0428EAF3" w14:textId="77777777" w:rsidR="00031641" w:rsidRDefault="00031641" w:rsidP="000E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035F8" w14:textId="77777777" w:rsidR="00031641" w:rsidRDefault="00031641" w:rsidP="000E3454">
      <w:pPr>
        <w:spacing w:after="0" w:line="240" w:lineRule="auto"/>
      </w:pPr>
      <w:r>
        <w:separator/>
      </w:r>
    </w:p>
  </w:footnote>
  <w:footnote w:type="continuationSeparator" w:id="0">
    <w:p w14:paraId="01D28A88" w14:textId="77777777" w:rsidR="00031641" w:rsidRDefault="00031641" w:rsidP="000E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D49EE" w14:textId="77777777" w:rsidR="000E3454" w:rsidRDefault="000E3454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44966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1A4A930" w14:textId="580FFF04" w:rsidR="000371FD" w:rsidRPr="007E6B9C" w:rsidRDefault="000371FD">
        <w:pPr>
          <w:pStyle w:val="a3"/>
          <w:jc w:val="center"/>
          <w:rPr>
            <w:sz w:val="24"/>
            <w:szCs w:val="24"/>
          </w:rPr>
        </w:pPr>
        <w:r w:rsidRPr="007E6B9C">
          <w:rPr>
            <w:sz w:val="24"/>
            <w:szCs w:val="24"/>
          </w:rPr>
          <w:fldChar w:fldCharType="begin"/>
        </w:r>
        <w:r w:rsidRPr="007E6B9C">
          <w:rPr>
            <w:sz w:val="24"/>
            <w:szCs w:val="24"/>
          </w:rPr>
          <w:instrText>PAGE   \* MERGEFORMAT</w:instrText>
        </w:r>
        <w:r w:rsidRPr="007E6B9C">
          <w:rPr>
            <w:sz w:val="24"/>
            <w:szCs w:val="24"/>
          </w:rPr>
          <w:fldChar w:fldCharType="separate"/>
        </w:r>
        <w:r w:rsidRPr="007E6B9C">
          <w:rPr>
            <w:sz w:val="24"/>
            <w:szCs w:val="24"/>
            <w:lang w:val="ru-RU"/>
          </w:rPr>
          <w:t>2</w:t>
        </w:r>
        <w:r w:rsidRPr="007E6B9C">
          <w:rPr>
            <w:sz w:val="24"/>
            <w:szCs w:val="24"/>
          </w:rPr>
          <w:fldChar w:fldCharType="end"/>
        </w:r>
      </w:p>
    </w:sdtContent>
  </w:sdt>
  <w:p w14:paraId="4B917937" w14:textId="77777777" w:rsidR="000E3454" w:rsidRDefault="000E3454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31488" w14:textId="24AFDFFB" w:rsidR="004D205B" w:rsidRPr="000A256A" w:rsidRDefault="004D205B" w:rsidP="000A256A">
    <w:pPr>
      <w:spacing w:after="0" w:line="276" w:lineRule="auto"/>
      <w:ind w:left="0" w:right="0" w:firstLine="0"/>
      <w:jc w:val="right"/>
      <w:rPr>
        <w:rFonts w:eastAsiaTheme="majorEastAsia"/>
        <w:bCs/>
        <w:color w:val="004F88"/>
        <w:szCs w:val="28"/>
        <w:lang w:val="ru-RU"/>
      </w:rPr>
    </w:pPr>
    <w:r w:rsidRPr="000A256A">
      <w:rPr>
        <w:rFonts w:eastAsiaTheme="majorEastAsia"/>
        <w:bCs/>
        <w:color w:val="004F88"/>
        <w:szCs w:val="28"/>
        <w:lang w:val="ru-RU"/>
      </w:rPr>
      <w:t>Приложение № 5</w:t>
    </w:r>
  </w:p>
  <w:p w14:paraId="18170B95" w14:textId="4BA0D05D" w:rsidR="000E3454" w:rsidRPr="000A256A" w:rsidRDefault="003C30CD" w:rsidP="000A256A">
    <w:pPr>
      <w:spacing w:after="0" w:line="240" w:lineRule="auto"/>
      <w:ind w:left="0" w:right="0" w:firstLine="0"/>
      <w:jc w:val="right"/>
      <w:rPr>
        <w:rFonts w:eastAsiaTheme="majorEastAsia"/>
        <w:bCs/>
        <w:color w:val="004F88"/>
        <w:szCs w:val="28"/>
        <w:lang w:val="ru-RU"/>
      </w:rPr>
    </w:pPr>
    <w:r w:rsidRPr="000A256A">
      <w:rPr>
        <w:rFonts w:eastAsiaTheme="majorEastAsia"/>
        <w:bCs/>
        <w:color w:val="004F88"/>
        <w:szCs w:val="28"/>
        <w:lang w:val="ru-RU"/>
      </w:rPr>
      <w:t xml:space="preserve">к Методическим рекомендациям по наполнению </w:t>
    </w:r>
    <w:r w:rsidRPr="000A256A">
      <w:rPr>
        <w:rFonts w:eastAsiaTheme="majorEastAsia"/>
        <w:bCs/>
        <w:color w:val="004F88"/>
        <w:szCs w:val="28"/>
        <w:lang w:val="ru-RU"/>
      </w:rPr>
      <w:br/>
      <w:t xml:space="preserve">шаблонов Региональной программы развития экспорта </w:t>
    </w:r>
    <w:r w:rsidRPr="000A256A">
      <w:rPr>
        <w:rFonts w:eastAsiaTheme="majorEastAsia"/>
        <w:bCs/>
        <w:color w:val="004F88"/>
        <w:szCs w:val="28"/>
        <w:lang w:val="ru-RU"/>
      </w:rPr>
      <w:br/>
      <w:t>субъекта Российской Федерации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C0CAB"/>
    <w:multiLevelType w:val="hybridMultilevel"/>
    <w:tmpl w:val="DFDC7AAA"/>
    <w:lvl w:ilvl="0" w:tplc="450A097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496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A280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3A14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18D7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02BAF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E0A9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AD0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B80C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FB1825"/>
    <w:multiLevelType w:val="hybridMultilevel"/>
    <w:tmpl w:val="C3CE5206"/>
    <w:lvl w:ilvl="0" w:tplc="4214665E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7C2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8422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206D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1296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C14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66BD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62D5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BCC4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123DB1"/>
    <w:multiLevelType w:val="hybridMultilevel"/>
    <w:tmpl w:val="E02CB0A6"/>
    <w:lvl w:ilvl="0" w:tplc="61649474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BE9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A04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7EB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E62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0892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9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E4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940B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136580"/>
    <w:multiLevelType w:val="hybridMultilevel"/>
    <w:tmpl w:val="4AACF8C2"/>
    <w:lvl w:ilvl="0" w:tplc="EC60ABF2">
      <w:start w:val="2"/>
      <w:numFmt w:val="decimal"/>
      <w:lvlText w:val="%1."/>
      <w:lvlJc w:val="left"/>
      <w:pPr>
        <w:ind w:left="1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303870">
      <w:start w:val="1"/>
      <w:numFmt w:val="lowerLetter"/>
      <w:lvlText w:val="%2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F2C4EC">
      <w:start w:val="1"/>
      <w:numFmt w:val="lowerRoman"/>
      <w:lvlText w:val="%3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02B6DA">
      <w:start w:val="1"/>
      <w:numFmt w:val="decimal"/>
      <w:lvlText w:val="%4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7AD2">
      <w:start w:val="1"/>
      <w:numFmt w:val="lowerLetter"/>
      <w:lvlText w:val="%5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F2C642">
      <w:start w:val="1"/>
      <w:numFmt w:val="lowerRoman"/>
      <w:lvlText w:val="%6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26DE32">
      <w:start w:val="1"/>
      <w:numFmt w:val="decimal"/>
      <w:lvlText w:val="%7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B290AE">
      <w:start w:val="1"/>
      <w:numFmt w:val="lowerLetter"/>
      <w:lvlText w:val="%8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08EA3E">
      <w:start w:val="1"/>
      <w:numFmt w:val="lowerRoman"/>
      <w:lvlText w:val="%9"/>
      <w:lvlJc w:val="left"/>
      <w:pPr>
        <w:ind w:left="7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220F18"/>
    <w:multiLevelType w:val="hybridMultilevel"/>
    <w:tmpl w:val="933A9D34"/>
    <w:lvl w:ilvl="0" w:tplc="5364798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2CD3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C234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2CB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B263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DE02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F8FF2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78E1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D666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FBF241B"/>
    <w:multiLevelType w:val="hybridMultilevel"/>
    <w:tmpl w:val="A7060290"/>
    <w:lvl w:ilvl="0" w:tplc="99582E0C">
      <w:start w:val="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06B9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5C3C3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366AD6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E8F02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EA518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522E8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2277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EE3F6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90"/>
    <w:rsid w:val="00031641"/>
    <w:rsid w:val="000371FD"/>
    <w:rsid w:val="00045F47"/>
    <w:rsid w:val="000A256A"/>
    <w:rsid w:val="000B6CC5"/>
    <w:rsid w:val="000D750E"/>
    <w:rsid w:val="000E3454"/>
    <w:rsid w:val="000F6D7B"/>
    <w:rsid w:val="00114ABB"/>
    <w:rsid w:val="00132D28"/>
    <w:rsid w:val="00142B8F"/>
    <w:rsid w:val="001C5A90"/>
    <w:rsid w:val="001D161F"/>
    <w:rsid w:val="00222849"/>
    <w:rsid w:val="0022399F"/>
    <w:rsid w:val="00231416"/>
    <w:rsid w:val="002737ED"/>
    <w:rsid w:val="002A7BD1"/>
    <w:rsid w:val="002B36EF"/>
    <w:rsid w:val="002C3053"/>
    <w:rsid w:val="003503DC"/>
    <w:rsid w:val="0035651E"/>
    <w:rsid w:val="0036211C"/>
    <w:rsid w:val="00370F76"/>
    <w:rsid w:val="0039266E"/>
    <w:rsid w:val="003C30CD"/>
    <w:rsid w:val="0047706F"/>
    <w:rsid w:val="004D205B"/>
    <w:rsid w:val="004D67C2"/>
    <w:rsid w:val="004F4B61"/>
    <w:rsid w:val="00515B4D"/>
    <w:rsid w:val="0054073E"/>
    <w:rsid w:val="005A3F6F"/>
    <w:rsid w:val="005C1734"/>
    <w:rsid w:val="005C749F"/>
    <w:rsid w:val="005D0873"/>
    <w:rsid w:val="00606887"/>
    <w:rsid w:val="00626A40"/>
    <w:rsid w:val="0063194F"/>
    <w:rsid w:val="00650CCF"/>
    <w:rsid w:val="006747A8"/>
    <w:rsid w:val="00695024"/>
    <w:rsid w:val="006B17D6"/>
    <w:rsid w:val="006D20D4"/>
    <w:rsid w:val="006D3A65"/>
    <w:rsid w:val="006F3205"/>
    <w:rsid w:val="00751AF8"/>
    <w:rsid w:val="00761B26"/>
    <w:rsid w:val="007A5501"/>
    <w:rsid w:val="007C7E87"/>
    <w:rsid w:val="007E6B9C"/>
    <w:rsid w:val="00861FEE"/>
    <w:rsid w:val="008925F0"/>
    <w:rsid w:val="008C19BF"/>
    <w:rsid w:val="008F5191"/>
    <w:rsid w:val="008F6F40"/>
    <w:rsid w:val="00936111"/>
    <w:rsid w:val="009B46C5"/>
    <w:rsid w:val="009B6FA9"/>
    <w:rsid w:val="009C5146"/>
    <w:rsid w:val="009D14BB"/>
    <w:rsid w:val="00A2341F"/>
    <w:rsid w:val="00A75300"/>
    <w:rsid w:val="00B2045F"/>
    <w:rsid w:val="00B24716"/>
    <w:rsid w:val="00BA6CD5"/>
    <w:rsid w:val="00BF7515"/>
    <w:rsid w:val="00CC3361"/>
    <w:rsid w:val="00D044EB"/>
    <w:rsid w:val="00D35B91"/>
    <w:rsid w:val="00D437EA"/>
    <w:rsid w:val="00D453AA"/>
    <w:rsid w:val="00D90173"/>
    <w:rsid w:val="00D945EF"/>
    <w:rsid w:val="00D95520"/>
    <w:rsid w:val="00DB61E6"/>
    <w:rsid w:val="00DE6D5F"/>
    <w:rsid w:val="00E00221"/>
    <w:rsid w:val="00E13244"/>
    <w:rsid w:val="00E5341B"/>
    <w:rsid w:val="00EA3234"/>
    <w:rsid w:val="00EB2490"/>
    <w:rsid w:val="00EB751F"/>
    <w:rsid w:val="00EC5BCB"/>
    <w:rsid w:val="00EE09F9"/>
    <w:rsid w:val="00EF6EE7"/>
    <w:rsid w:val="00F1530C"/>
    <w:rsid w:val="00F364C4"/>
    <w:rsid w:val="00F83428"/>
    <w:rsid w:val="00FA2FB7"/>
    <w:rsid w:val="00FA37C6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B9D528"/>
  <w15:chartTrackingRefBased/>
  <w15:docId w15:val="{CC82373E-4A04-4DEC-A838-16CD4FCB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A65"/>
    <w:pPr>
      <w:spacing w:after="4" w:line="286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  <w:szCs w:val="22"/>
      <w:lang w:val="en-US" w:eastAsia="en-US" w:bidi="ar-SA"/>
    </w:rPr>
  </w:style>
  <w:style w:type="paragraph" w:styleId="1">
    <w:name w:val="heading 1"/>
    <w:next w:val="a"/>
    <w:link w:val="10"/>
    <w:uiPriority w:val="9"/>
    <w:unhideWhenUsed/>
    <w:qFormat/>
    <w:rsid w:val="000E3454"/>
    <w:pPr>
      <w:keepNext/>
      <w:keepLines/>
      <w:spacing w:after="150"/>
      <w:ind w:left="2079" w:right="1201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454"/>
  </w:style>
  <w:style w:type="paragraph" w:styleId="a5">
    <w:name w:val="footer"/>
    <w:basedOn w:val="a"/>
    <w:link w:val="a6"/>
    <w:uiPriority w:val="99"/>
    <w:unhideWhenUsed/>
    <w:rsid w:val="000E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454"/>
  </w:style>
  <w:style w:type="character" w:customStyle="1" w:styleId="10">
    <w:name w:val="Заголовок 1 Знак"/>
    <w:basedOn w:val="a0"/>
    <w:link w:val="1"/>
    <w:uiPriority w:val="9"/>
    <w:rsid w:val="000E3454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paragraph" w:styleId="a7">
    <w:name w:val="List Paragraph"/>
    <w:basedOn w:val="a"/>
    <w:uiPriority w:val="34"/>
    <w:qFormat/>
    <w:rsid w:val="002737ED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4073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4073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4073E"/>
    <w:rPr>
      <w:rFonts w:ascii="Times New Roman" w:eastAsia="Times New Roman" w:hAnsi="Times New Roman" w:cs="Times New Roman"/>
      <w:color w:val="000000"/>
      <w:sz w:val="20"/>
      <w:lang w:val="en-US" w:eastAsia="en-US" w:bidi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073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073E"/>
    <w:rPr>
      <w:rFonts w:ascii="Times New Roman" w:eastAsia="Times New Roman" w:hAnsi="Times New Roman" w:cs="Times New Roman"/>
      <w:b/>
      <w:bCs/>
      <w:color w:val="000000"/>
      <w:sz w:val="20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54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4073E"/>
    <w:rPr>
      <w:rFonts w:ascii="Segoe UI" w:eastAsia="Times New Roman" w:hAnsi="Segoe UI" w:cs="Segoe UI"/>
      <w:color w:val="000000"/>
      <w:sz w:val="18"/>
      <w:szCs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ABDB4-B273-4D72-A481-29D89D19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Кувшинов</dc:creator>
  <cp:keywords/>
  <dc:description/>
  <cp:lastModifiedBy>Джаббаров Наиль Зохрабович</cp:lastModifiedBy>
  <cp:revision>8</cp:revision>
  <cp:lastPrinted>2024-10-25T14:35:00Z</cp:lastPrinted>
  <dcterms:created xsi:type="dcterms:W3CDTF">2024-10-25T13:00:00Z</dcterms:created>
  <dcterms:modified xsi:type="dcterms:W3CDTF">2024-12-16T12:12:00Z</dcterms:modified>
</cp:coreProperties>
</file>